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AB3F" w14:textId="77777777" w:rsidR="0081514C" w:rsidRPr="00C53F83" w:rsidRDefault="00C53F83" w:rsidP="008F2280">
      <w:pPr>
        <w:pStyle w:val="Header"/>
        <w:outlineLvl w:val="0"/>
        <w:rPr>
          <w:b/>
          <w:szCs w:val="22"/>
          <w:lang w:val="en-US"/>
        </w:rPr>
      </w:pPr>
      <w:r w:rsidRPr="00C53F83">
        <w:rPr>
          <w:b/>
          <w:szCs w:val="22"/>
          <w:lang w:val="en-US"/>
        </w:rPr>
        <w:t>UNITED NATIONS DEVELOPMENT PROGRAMME</w:t>
      </w:r>
    </w:p>
    <w:p w14:paraId="2E91AB40" w14:textId="77777777" w:rsidR="0081514C" w:rsidRPr="00C53F83" w:rsidRDefault="00C53F83" w:rsidP="008F2280">
      <w:pPr>
        <w:pStyle w:val="Header"/>
        <w:outlineLvl w:val="0"/>
        <w:rPr>
          <w:b/>
          <w:szCs w:val="22"/>
          <w:lang w:val="en-US"/>
        </w:rPr>
      </w:pPr>
      <w:r w:rsidRPr="00C53F83">
        <w:rPr>
          <w:b/>
          <w:szCs w:val="22"/>
          <w:lang w:val="en-US"/>
        </w:rPr>
        <w:t xml:space="preserve">REGIONAL CENTRE FOR LATIN AMERICA AND THE CARIBBEAN </w:t>
      </w:r>
    </w:p>
    <w:p w14:paraId="2E91AB41" w14:textId="77777777" w:rsidR="003430F5" w:rsidRPr="00C53F83" w:rsidRDefault="003430F5" w:rsidP="00340E23">
      <w:pPr>
        <w:rPr>
          <w:lang w:val="en-US"/>
        </w:rPr>
      </w:pPr>
    </w:p>
    <w:p w14:paraId="2E91AB42" w14:textId="77777777" w:rsidR="00D56632" w:rsidRPr="00E964D1" w:rsidRDefault="00C53F83" w:rsidP="008F2280">
      <w:pPr>
        <w:pBdr>
          <w:top w:val="single" w:sz="4" w:space="0" w:color="auto"/>
          <w:left w:val="single" w:sz="4" w:space="4" w:color="auto"/>
          <w:bottom w:val="single" w:sz="4" w:space="1" w:color="auto"/>
          <w:right w:val="single" w:sz="4" w:space="4" w:color="auto"/>
        </w:pBdr>
        <w:shd w:val="clear" w:color="auto" w:fill="C0C0C0"/>
        <w:jc w:val="center"/>
        <w:outlineLvl w:val="0"/>
        <w:rPr>
          <w:rFonts w:ascii="Myriad Pro" w:hAnsi="Myriad Pro"/>
          <w:b/>
          <w:i/>
          <w:sz w:val="28"/>
          <w:szCs w:val="28"/>
          <w:lang w:val="es-MX"/>
        </w:rPr>
      </w:pPr>
      <w:r>
        <w:rPr>
          <w:rFonts w:ascii="Myriad Pro" w:hAnsi="Myriad Pro"/>
          <w:b/>
          <w:i/>
          <w:sz w:val="28"/>
          <w:szCs w:val="28"/>
          <w:lang w:val="es-MX"/>
        </w:rPr>
        <w:t xml:space="preserve">ANNUAL PROGRESS REPORT </w:t>
      </w:r>
    </w:p>
    <w:p w14:paraId="2E91AB43" w14:textId="77777777" w:rsidR="00E73DE5" w:rsidRPr="00E964D1" w:rsidRDefault="00E73DE5" w:rsidP="000C4DDD">
      <w:pPr>
        <w:rPr>
          <w:rFonts w:ascii="Myriad Pro" w:hAnsi="Myriad Pro"/>
          <w:lang w:val="es-MX"/>
        </w:rPr>
      </w:pPr>
    </w:p>
    <w:tbl>
      <w:tblPr>
        <w:tblStyle w:val="TableGrid"/>
        <w:tblW w:w="9540" w:type="dxa"/>
        <w:tblInd w:w="108" w:type="dxa"/>
        <w:tblLayout w:type="fixed"/>
        <w:tblLook w:val="01E0" w:firstRow="1" w:lastRow="1" w:firstColumn="1" w:lastColumn="1" w:noHBand="0" w:noVBand="0"/>
      </w:tblPr>
      <w:tblGrid>
        <w:gridCol w:w="4253"/>
        <w:gridCol w:w="5287"/>
      </w:tblGrid>
      <w:tr w:rsidR="006F3EC0" w:rsidRPr="00860421" w14:paraId="2E91AB46" w14:textId="77777777" w:rsidTr="006D6B37">
        <w:trPr>
          <w:trHeight w:val="359"/>
        </w:trPr>
        <w:tc>
          <w:tcPr>
            <w:tcW w:w="4253" w:type="dxa"/>
            <w:shd w:val="clear" w:color="auto" w:fill="C0C0C0"/>
            <w:vAlign w:val="center"/>
          </w:tcPr>
          <w:p w14:paraId="2E91AB44" w14:textId="77777777" w:rsidR="006F3EC0" w:rsidRPr="00860421" w:rsidRDefault="002C66AD"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Project Title</w:t>
            </w:r>
          </w:p>
        </w:tc>
        <w:tc>
          <w:tcPr>
            <w:tcW w:w="5287" w:type="dxa"/>
            <w:vAlign w:val="center"/>
          </w:tcPr>
          <w:p w14:paraId="2E91AB45" w14:textId="45158E32" w:rsidR="006F3EC0" w:rsidRPr="00B94CD9" w:rsidRDefault="00B94CD9" w:rsidP="00344A43">
            <w:pPr>
              <w:pStyle w:val="Default"/>
              <w:rPr>
                <w:szCs w:val="22"/>
              </w:rPr>
            </w:pPr>
            <w:r w:rsidRPr="004D5158">
              <w:rPr>
                <w:bCs/>
                <w:sz w:val="22"/>
                <w:szCs w:val="22"/>
              </w:rPr>
              <w:t xml:space="preserve">Green Commodities </w:t>
            </w:r>
            <w:proofErr w:type="spellStart"/>
            <w:r w:rsidRPr="004D5158">
              <w:rPr>
                <w:bCs/>
                <w:sz w:val="22"/>
                <w:szCs w:val="22"/>
              </w:rPr>
              <w:t>Programme</w:t>
            </w:r>
            <w:proofErr w:type="spellEnd"/>
            <w:r w:rsidRPr="004D5158">
              <w:rPr>
                <w:bCs/>
                <w:sz w:val="22"/>
                <w:szCs w:val="22"/>
              </w:rPr>
              <w:t xml:space="preserve"> </w:t>
            </w:r>
          </w:p>
        </w:tc>
      </w:tr>
      <w:tr w:rsidR="006F3EC0" w:rsidRPr="00860421" w14:paraId="2E91AB49" w14:textId="77777777" w:rsidTr="006D6B37">
        <w:trPr>
          <w:trHeight w:val="359"/>
        </w:trPr>
        <w:tc>
          <w:tcPr>
            <w:tcW w:w="4253" w:type="dxa"/>
            <w:shd w:val="clear" w:color="auto" w:fill="C0C0C0"/>
            <w:vAlign w:val="center"/>
          </w:tcPr>
          <w:p w14:paraId="2E91AB47" w14:textId="77777777" w:rsidR="006F3EC0" w:rsidRPr="00860421" w:rsidRDefault="000018D6"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Delivery date: </w:t>
            </w:r>
          </w:p>
        </w:tc>
        <w:tc>
          <w:tcPr>
            <w:tcW w:w="5287" w:type="dxa"/>
            <w:vAlign w:val="center"/>
          </w:tcPr>
          <w:p w14:paraId="2E91AB48" w14:textId="671BE031" w:rsidR="006F3EC0" w:rsidRPr="004C74B4" w:rsidRDefault="00344A43" w:rsidP="00344A43">
            <w:pPr>
              <w:tabs>
                <w:tab w:val="left" w:pos="4680"/>
              </w:tabs>
              <w:jc w:val="left"/>
              <w:rPr>
                <w:rFonts w:asciiTheme="minorHAnsi" w:hAnsiTheme="minorHAnsi" w:cstheme="minorHAnsi"/>
                <w:szCs w:val="22"/>
                <w:shd w:val="clear" w:color="auto" w:fill="FFFFFF" w:themeFill="background1"/>
                <w:lang w:val="es-PA"/>
              </w:rPr>
            </w:pPr>
            <w:r w:rsidRPr="00760740">
              <w:rPr>
                <w:rFonts w:asciiTheme="minorHAnsi" w:hAnsiTheme="minorHAnsi" w:cstheme="minorHAnsi"/>
                <w:szCs w:val="22"/>
                <w:shd w:val="clear" w:color="auto" w:fill="FFFFFF" w:themeFill="background1"/>
                <w:lang w:val="es-PA"/>
              </w:rPr>
              <w:t xml:space="preserve">January </w:t>
            </w:r>
            <w:r w:rsidR="00760740" w:rsidRPr="00760740">
              <w:rPr>
                <w:rFonts w:asciiTheme="minorHAnsi" w:hAnsiTheme="minorHAnsi" w:cstheme="minorHAnsi"/>
                <w:szCs w:val="22"/>
                <w:shd w:val="clear" w:color="auto" w:fill="FFFFFF" w:themeFill="background1"/>
                <w:lang w:val="es-PA"/>
              </w:rPr>
              <w:t>21</w:t>
            </w:r>
            <w:r w:rsidRPr="00760740">
              <w:rPr>
                <w:rFonts w:asciiTheme="minorHAnsi" w:hAnsiTheme="minorHAnsi" w:cstheme="minorHAnsi"/>
                <w:szCs w:val="22"/>
                <w:shd w:val="clear" w:color="auto" w:fill="FFFFFF" w:themeFill="background1"/>
                <w:lang w:val="es-PA"/>
              </w:rPr>
              <w:t>, 2018</w:t>
            </w:r>
          </w:p>
        </w:tc>
      </w:tr>
      <w:tr w:rsidR="006F3EC0" w:rsidRPr="00860421" w14:paraId="2E91AB4C" w14:textId="77777777" w:rsidTr="006D6B37">
        <w:trPr>
          <w:trHeight w:val="397"/>
        </w:trPr>
        <w:tc>
          <w:tcPr>
            <w:tcW w:w="4253" w:type="dxa"/>
            <w:shd w:val="clear" w:color="auto" w:fill="C0C0C0"/>
            <w:vAlign w:val="center"/>
          </w:tcPr>
          <w:p w14:paraId="2E91AB4A" w14:textId="77777777" w:rsidR="006F3EC0" w:rsidRPr="00860421" w:rsidRDefault="008F712F"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Prepared by</w:t>
            </w:r>
            <w:r w:rsidR="00E964D1" w:rsidRPr="00860421">
              <w:rPr>
                <w:rFonts w:asciiTheme="minorHAnsi" w:hAnsiTheme="minorHAnsi" w:cstheme="minorHAnsi"/>
                <w:b/>
                <w:bCs/>
                <w:szCs w:val="22"/>
                <w:lang w:val="es-PA"/>
              </w:rPr>
              <w:t>:</w:t>
            </w:r>
          </w:p>
        </w:tc>
        <w:tc>
          <w:tcPr>
            <w:tcW w:w="5287" w:type="dxa"/>
            <w:vAlign w:val="center"/>
          </w:tcPr>
          <w:p w14:paraId="2E91AB4B" w14:textId="75AB0378" w:rsidR="006F3EC0" w:rsidRPr="00562605" w:rsidRDefault="00344A43" w:rsidP="00344A43">
            <w:pPr>
              <w:tabs>
                <w:tab w:val="left" w:pos="4680"/>
              </w:tabs>
              <w:jc w:val="left"/>
              <w:rPr>
                <w:rFonts w:asciiTheme="minorHAnsi" w:hAnsiTheme="minorHAnsi" w:cstheme="minorHAnsi"/>
                <w:szCs w:val="22"/>
                <w:shd w:val="clear" w:color="auto" w:fill="FFFFFF" w:themeFill="background1"/>
                <w:lang w:val="en-US"/>
              </w:rPr>
            </w:pPr>
            <w:r w:rsidRPr="00562605">
              <w:rPr>
                <w:rFonts w:asciiTheme="minorHAnsi" w:hAnsiTheme="minorHAnsi" w:cstheme="minorHAnsi"/>
                <w:szCs w:val="22"/>
                <w:shd w:val="clear" w:color="auto" w:fill="FFFFFF" w:themeFill="background1"/>
                <w:lang w:val="en-US"/>
              </w:rPr>
              <w:t>Monitoring</w:t>
            </w:r>
            <w:r w:rsidR="00C85532" w:rsidRPr="00562605">
              <w:rPr>
                <w:rFonts w:asciiTheme="minorHAnsi" w:hAnsiTheme="minorHAnsi" w:cstheme="minorHAnsi"/>
                <w:szCs w:val="22"/>
                <w:shd w:val="clear" w:color="auto" w:fill="FFFFFF" w:themeFill="background1"/>
                <w:lang w:val="en-US"/>
              </w:rPr>
              <w:t>,</w:t>
            </w:r>
            <w:r w:rsidRPr="00562605">
              <w:rPr>
                <w:rFonts w:asciiTheme="minorHAnsi" w:hAnsiTheme="minorHAnsi" w:cstheme="minorHAnsi"/>
                <w:szCs w:val="22"/>
                <w:shd w:val="clear" w:color="auto" w:fill="FFFFFF" w:themeFill="background1"/>
                <w:lang w:val="en-US"/>
              </w:rPr>
              <w:t xml:space="preserve"> Evaluation</w:t>
            </w:r>
            <w:r w:rsidR="00C85532" w:rsidRPr="00562605">
              <w:rPr>
                <w:rFonts w:asciiTheme="minorHAnsi" w:hAnsiTheme="minorHAnsi" w:cstheme="minorHAnsi"/>
                <w:szCs w:val="22"/>
                <w:shd w:val="clear" w:color="auto" w:fill="FFFFFF" w:themeFill="background1"/>
                <w:lang w:val="en-US"/>
              </w:rPr>
              <w:t>, and Learning</w:t>
            </w:r>
            <w:r w:rsidRPr="00562605">
              <w:rPr>
                <w:rFonts w:asciiTheme="minorHAnsi" w:hAnsiTheme="minorHAnsi" w:cstheme="minorHAnsi"/>
                <w:szCs w:val="22"/>
                <w:shd w:val="clear" w:color="auto" w:fill="FFFFFF" w:themeFill="background1"/>
                <w:lang w:val="en-US"/>
              </w:rPr>
              <w:t xml:space="preserve"> Specialist</w:t>
            </w:r>
          </w:p>
        </w:tc>
      </w:tr>
      <w:tr w:rsidR="00FB71CE" w:rsidRPr="00860421" w14:paraId="2E91AB50" w14:textId="77777777" w:rsidTr="006D6B37">
        <w:trPr>
          <w:trHeight w:val="359"/>
        </w:trPr>
        <w:tc>
          <w:tcPr>
            <w:tcW w:w="4253" w:type="dxa"/>
            <w:shd w:val="clear" w:color="auto" w:fill="C0C0C0"/>
            <w:vAlign w:val="center"/>
          </w:tcPr>
          <w:p w14:paraId="2E91AB4D" w14:textId="77777777" w:rsidR="00FB71CE" w:rsidRPr="00860421" w:rsidRDefault="00FB71CE" w:rsidP="000C2E13">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Award ID</w:t>
            </w:r>
            <w:r w:rsidR="00065B57" w:rsidRPr="00860421">
              <w:rPr>
                <w:rFonts w:asciiTheme="minorHAnsi" w:hAnsiTheme="minorHAnsi" w:cstheme="minorHAnsi"/>
                <w:b/>
                <w:bCs/>
                <w:szCs w:val="22"/>
                <w:lang w:val="es-PA"/>
              </w:rPr>
              <w:t>:</w:t>
            </w:r>
          </w:p>
        </w:tc>
        <w:tc>
          <w:tcPr>
            <w:tcW w:w="5287" w:type="dxa"/>
            <w:vAlign w:val="center"/>
          </w:tcPr>
          <w:p w14:paraId="2E91AB4F" w14:textId="4B8613AE" w:rsidR="00FB71CE" w:rsidRPr="004C74B4" w:rsidRDefault="00344A43" w:rsidP="00344A43">
            <w:pPr>
              <w:spacing w:after="0"/>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00079521</w:t>
            </w:r>
          </w:p>
        </w:tc>
      </w:tr>
      <w:tr w:rsidR="000734EF" w:rsidRPr="00860421" w14:paraId="2E91AB56" w14:textId="77777777" w:rsidTr="006D6B37">
        <w:tc>
          <w:tcPr>
            <w:tcW w:w="4253" w:type="dxa"/>
            <w:shd w:val="clear" w:color="auto" w:fill="C0C0C0"/>
            <w:vAlign w:val="center"/>
          </w:tcPr>
          <w:p w14:paraId="2E91AB51" w14:textId="77777777" w:rsidR="000734EF" w:rsidRPr="00860421" w:rsidRDefault="00C8161A" w:rsidP="00DE7BB1">
            <w:pPr>
              <w:tabs>
                <w:tab w:val="left" w:pos="4680"/>
              </w:tabs>
              <w:jc w:val="left"/>
              <w:rPr>
                <w:rFonts w:asciiTheme="minorHAnsi" w:hAnsiTheme="minorHAnsi" w:cstheme="minorHAnsi"/>
                <w:b/>
                <w:bCs/>
                <w:szCs w:val="22"/>
                <w:lang w:val="es-PA"/>
              </w:rPr>
            </w:pPr>
            <w:r w:rsidRPr="00860421">
              <w:rPr>
                <w:rFonts w:asciiTheme="minorHAnsi" w:hAnsiTheme="minorHAnsi" w:cstheme="minorHAnsi"/>
                <w:b/>
                <w:bCs/>
                <w:szCs w:val="22"/>
                <w:lang w:val="es-PA"/>
              </w:rPr>
              <w:t>R</w:t>
            </w:r>
            <w:r w:rsidR="00860421">
              <w:rPr>
                <w:rFonts w:asciiTheme="minorHAnsi" w:hAnsiTheme="minorHAnsi" w:cstheme="minorHAnsi"/>
                <w:b/>
                <w:bCs/>
                <w:szCs w:val="22"/>
                <w:lang w:val="es-PA"/>
              </w:rPr>
              <w:t xml:space="preserve">egional Programme </w:t>
            </w:r>
            <w:r w:rsidRPr="00860421">
              <w:rPr>
                <w:rFonts w:asciiTheme="minorHAnsi" w:hAnsiTheme="minorHAnsi" w:cstheme="minorHAnsi"/>
                <w:b/>
                <w:bCs/>
                <w:szCs w:val="22"/>
                <w:lang w:val="es-PA"/>
              </w:rPr>
              <w:t>Expected Outcomes:</w:t>
            </w:r>
            <w:r w:rsidR="000734EF" w:rsidRPr="00860421">
              <w:rPr>
                <w:rFonts w:asciiTheme="minorHAnsi" w:hAnsiTheme="minorHAnsi" w:cstheme="minorHAnsi"/>
                <w:b/>
                <w:bCs/>
                <w:szCs w:val="22"/>
                <w:lang w:val="es-PA"/>
              </w:rPr>
              <w:tab/>
            </w:r>
          </w:p>
        </w:tc>
        <w:tc>
          <w:tcPr>
            <w:tcW w:w="5287" w:type="dxa"/>
            <w:vAlign w:val="center"/>
          </w:tcPr>
          <w:p w14:paraId="2E91AB55" w14:textId="3C1C916E" w:rsidR="00D47148" w:rsidRPr="00344A43" w:rsidRDefault="00344A43" w:rsidP="00344A43">
            <w:pPr>
              <w:tabs>
                <w:tab w:val="left" w:pos="4680"/>
              </w:tabs>
              <w:jc w:val="left"/>
              <w:rPr>
                <w:rFonts w:asciiTheme="minorHAnsi" w:hAnsiTheme="minorHAnsi" w:cstheme="minorHAnsi"/>
                <w:szCs w:val="22"/>
                <w:shd w:val="clear" w:color="auto" w:fill="FFFFFF" w:themeFill="background1"/>
                <w:lang w:val="en-US"/>
              </w:rPr>
            </w:pPr>
            <w:r w:rsidRPr="00DA2C71">
              <w:rPr>
                <w:rFonts w:asciiTheme="minorHAnsi" w:hAnsiTheme="minorHAnsi" w:cstheme="minorHAnsi"/>
                <w:szCs w:val="22"/>
                <w:shd w:val="clear" w:color="auto" w:fill="FFFFFF" w:themeFill="background1"/>
                <w:lang w:val="en-US"/>
              </w:rPr>
              <w:t>The project outcome is to transform the product</w:t>
            </w:r>
            <w:r>
              <w:rPr>
                <w:rFonts w:asciiTheme="minorHAnsi" w:hAnsiTheme="minorHAnsi" w:cstheme="minorHAnsi"/>
                <w:szCs w:val="22"/>
                <w:shd w:val="clear" w:color="auto" w:fill="FFFFFF" w:themeFill="background1"/>
                <w:lang w:val="en-US"/>
              </w:rPr>
              <w:t>ion of agricultural commodities by reducing</w:t>
            </w:r>
            <w:r w:rsidRPr="00DA2C71">
              <w:rPr>
                <w:rFonts w:asciiTheme="minorHAnsi" w:hAnsiTheme="minorHAnsi" w:cstheme="minorHAnsi"/>
                <w:szCs w:val="22"/>
                <w:shd w:val="clear" w:color="auto" w:fill="FFFFFF" w:themeFill="background1"/>
                <w:lang w:val="en-US"/>
              </w:rPr>
              <w:t xml:space="preserve"> </w:t>
            </w:r>
            <w:r>
              <w:rPr>
                <w:rFonts w:asciiTheme="minorHAnsi" w:hAnsiTheme="minorHAnsi" w:cstheme="minorHAnsi"/>
                <w:szCs w:val="22"/>
                <w:shd w:val="clear" w:color="auto" w:fill="FFFFFF" w:themeFill="background1"/>
                <w:lang w:val="en-US"/>
              </w:rPr>
              <w:t>their environmental impacts</w:t>
            </w:r>
            <w:r w:rsidRPr="00DA2C71">
              <w:rPr>
                <w:rFonts w:asciiTheme="minorHAnsi" w:hAnsiTheme="minorHAnsi" w:cstheme="minorHAnsi"/>
                <w:szCs w:val="22"/>
                <w:shd w:val="clear" w:color="auto" w:fill="FFFFFF" w:themeFill="background1"/>
                <w:lang w:val="en-US"/>
              </w:rPr>
              <w:t xml:space="preserve"> while increasing economic opportunities for low-income producers in developing countries</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through the scaling up and institutionalizing support for sustainable commodity production</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w:t>
            </w:r>
          </w:p>
        </w:tc>
      </w:tr>
      <w:tr w:rsidR="000734EF" w:rsidRPr="00860421" w14:paraId="2E91AB5B" w14:textId="77777777" w:rsidTr="006D6B37">
        <w:tc>
          <w:tcPr>
            <w:tcW w:w="4253" w:type="dxa"/>
            <w:shd w:val="clear" w:color="auto" w:fill="C0C0C0"/>
            <w:vAlign w:val="center"/>
          </w:tcPr>
          <w:p w14:paraId="2E91AB57" w14:textId="77777777" w:rsidR="000734EF" w:rsidRPr="00860421" w:rsidRDefault="00860421" w:rsidP="00DE7BB1">
            <w:pPr>
              <w:tabs>
                <w:tab w:val="left" w:pos="4680"/>
              </w:tabs>
              <w:jc w:val="left"/>
              <w:rPr>
                <w:rFonts w:asciiTheme="minorHAnsi" w:hAnsiTheme="minorHAnsi" w:cstheme="minorHAnsi"/>
                <w:b/>
                <w:bCs/>
                <w:szCs w:val="22"/>
                <w:lang w:val="es-PA"/>
              </w:rPr>
            </w:pPr>
            <w:r>
              <w:rPr>
                <w:rFonts w:asciiTheme="minorHAnsi" w:hAnsiTheme="minorHAnsi" w:cstheme="minorHAnsi"/>
                <w:b/>
                <w:bCs/>
                <w:szCs w:val="22"/>
                <w:lang w:val="es-PA"/>
              </w:rPr>
              <w:t xml:space="preserve">Project </w:t>
            </w:r>
            <w:r w:rsidR="00C8161A" w:rsidRPr="00860421">
              <w:rPr>
                <w:rFonts w:asciiTheme="minorHAnsi" w:hAnsiTheme="minorHAnsi" w:cstheme="minorHAnsi"/>
                <w:b/>
                <w:bCs/>
                <w:szCs w:val="22"/>
                <w:lang w:val="es-PA"/>
              </w:rPr>
              <w:t xml:space="preserve">Expected </w:t>
            </w:r>
            <w:r w:rsidR="00D6290B">
              <w:rPr>
                <w:rFonts w:asciiTheme="minorHAnsi" w:hAnsiTheme="minorHAnsi" w:cstheme="minorHAnsi"/>
                <w:b/>
                <w:bCs/>
                <w:szCs w:val="22"/>
                <w:lang w:val="es-PA"/>
              </w:rPr>
              <w:t>O</w:t>
            </w:r>
            <w:r w:rsidR="00C8161A" w:rsidRPr="00860421">
              <w:rPr>
                <w:rFonts w:asciiTheme="minorHAnsi" w:hAnsiTheme="minorHAnsi" w:cstheme="minorHAnsi"/>
                <w:b/>
                <w:bCs/>
                <w:szCs w:val="22"/>
                <w:lang w:val="es-PA"/>
              </w:rPr>
              <w:t>utputs:</w:t>
            </w:r>
            <w:r w:rsidR="000734EF" w:rsidRPr="00860421">
              <w:rPr>
                <w:rFonts w:asciiTheme="minorHAnsi" w:hAnsiTheme="minorHAnsi" w:cstheme="minorHAnsi"/>
                <w:b/>
                <w:bCs/>
                <w:szCs w:val="22"/>
                <w:lang w:val="es-PA"/>
              </w:rPr>
              <w:tab/>
            </w:r>
          </w:p>
        </w:tc>
        <w:tc>
          <w:tcPr>
            <w:tcW w:w="5287" w:type="dxa"/>
            <w:vAlign w:val="center"/>
          </w:tcPr>
          <w:p w14:paraId="2E91AB5A" w14:textId="551024A0" w:rsidR="00C86410" w:rsidRPr="008D2CC3" w:rsidRDefault="004D0C60" w:rsidP="004D0C60">
            <w:pPr>
              <w:spacing w:before="100" w:beforeAutospacing="1" w:after="100" w:afterAutospacing="1"/>
              <w:jc w:val="left"/>
              <w:rPr>
                <w:rFonts w:asciiTheme="minorHAnsi" w:hAnsiTheme="minorHAnsi" w:cstheme="minorHAnsi"/>
                <w:b/>
                <w:szCs w:val="22"/>
                <w:shd w:val="clear" w:color="auto" w:fill="FFFFFF" w:themeFill="background1"/>
                <w:lang w:val="en-US"/>
              </w:rPr>
            </w:pPr>
            <w:r w:rsidRPr="00D178DC">
              <w:rPr>
                <w:rFonts w:asciiTheme="minorHAnsi" w:hAnsiTheme="minorHAnsi" w:cstheme="minorHAnsi"/>
                <w:b/>
                <w:szCs w:val="22"/>
                <w:shd w:val="clear" w:color="auto" w:fill="FFFFFF" w:themeFill="background1"/>
                <w:lang w:val="en-US"/>
              </w:rPr>
              <w:t>Global Strategy, Part</w:t>
            </w:r>
            <w:r w:rsidR="0022029A" w:rsidRPr="00D178DC">
              <w:rPr>
                <w:rFonts w:asciiTheme="minorHAnsi" w:hAnsiTheme="minorHAnsi" w:cstheme="minorHAnsi"/>
                <w:b/>
                <w:szCs w:val="22"/>
                <w:shd w:val="clear" w:color="auto" w:fill="FFFFFF" w:themeFill="background1"/>
                <w:lang w:val="en-US"/>
              </w:rPr>
              <w:t xml:space="preserve">nerships &amp; Knowledge Management: </w:t>
            </w:r>
            <w:r w:rsidRPr="00C313A2">
              <w:rPr>
                <w:rFonts w:asciiTheme="minorHAnsi" w:hAnsiTheme="minorHAnsi" w:cstheme="minorHAnsi"/>
                <w:szCs w:val="22"/>
                <w:shd w:val="clear" w:color="auto" w:fill="FFFFFF" w:themeFill="background1"/>
                <w:lang w:val="en-US"/>
              </w:rPr>
              <w:t xml:space="preserve">This component will support building an extensive network of partners and stakeholders working with commodity sustainability aiming to scale up efforts to create positive environmental, social and economic impact in productive sectors by creating an enabling environment conducive for change. The project team will help </w:t>
            </w:r>
            <w:r w:rsidR="00D178DC">
              <w:rPr>
                <w:rFonts w:asciiTheme="minorHAnsi" w:hAnsiTheme="minorHAnsi" w:cstheme="minorHAnsi"/>
                <w:szCs w:val="22"/>
                <w:shd w:val="clear" w:color="auto" w:fill="FFFFFF" w:themeFill="background1"/>
                <w:lang w:val="en-US"/>
              </w:rPr>
              <w:t xml:space="preserve">establish and </w:t>
            </w:r>
            <w:r w:rsidRPr="00C313A2">
              <w:rPr>
                <w:rFonts w:asciiTheme="minorHAnsi" w:hAnsiTheme="minorHAnsi" w:cstheme="minorHAnsi"/>
                <w:szCs w:val="22"/>
                <w:shd w:val="clear" w:color="auto" w:fill="FFFFFF" w:themeFill="background1"/>
                <w:lang w:val="en-US"/>
              </w:rPr>
              <w:t>manage global, regional and national partnerships promoting policies (in both public and private sector), investments, and coordination to enhance on the ground support and increase ability to shift markets to commodities produced with socially and environmentally responsible practices. Partners will include UN agencies, donors, private sector (retailers, buyers, traders, exporters, producers) NGOs, certification bodies</w:t>
            </w:r>
            <w:r w:rsidR="008D2CC3">
              <w:rPr>
                <w:rFonts w:asciiTheme="minorHAnsi" w:hAnsiTheme="minorHAnsi" w:cstheme="minorHAnsi"/>
                <w:szCs w:val="22"/>
                <w:shd w:val="clear" w:color="auto" w:fill="FFFFFF" w:themeFill="background1"/>
                <w:lang w:val="en-US"/>
              </w:rPr>
              <w:t xml:space="preserve">. </w:t>
            </w:r>
          </w:p>
        </w:tc>
      </w:tr>
      <w:tr w:rsidR="000734EF" w:rsidRPr="00860421" w14:paraId="2E91AB5E" w14:textId="77777777" w:rsidTr="006D6B37">
        <w:tc>
          <w:tcPr>
            <w:tcW w:w="4253" w:type="dxa"/>
            <w:shd w:val="clear" w:color="auto" w:fill="C0C0C0"/>
            <w:vAlign w:val="center"/>
          </w:tcPr>
          <w:p w14:paraId="2E91AB5C" w14:textId="77777777" w:rsidR="000734EF" w:rsidRPr="00860421" w:rsidRDefault="001E7DFF"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Executing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 xml:space="preserve">ntity </w:t>
            </w:r>
            <w:r w:rsidR="00065B57" w:rsidRPr="00860421">
              <w:rPr>
                <w:rFonts w:asciiTheme="minorHAnsi" w:hAnsiTheme="minorHAnsi" w:cstheme="minorHAnsi"/>
                <w:b/>
                <w:bCs/>
                <w:szCs w:val="22"/>
                <w:lang w:val="es-PA"/>
              </w:rPr>
              <w:t>:</w:t>
            </w:r>
          </w:p>
        </w:tc>
        <w:tc>
          <w:tcPr>
            <w:tcW w:w="5287" w:type="dxa"/>
            <w:vAlign w:val="center"/>
          </w:tcPr>
          <w:p w14:paraId="2E91AB5D" w14:textId="12275309"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UNDP</w:t>
            </w:r>
          </w:p>
        </w:tc>
      </w:tr>
      <w:tr w:rsidR="000734EF" w:rsidRPr="007546CE" w14:paraId="2E91AB61" w14:textId="77777777" w:rsidTr="006D6B37">
        <w:tc>
          <w:tcPr>
            <w:tcW w:w="4253" w:type="dxa"/>
            <w:shd w:val="clear" w:color="auto" w:fill="C0C0C0"/>
            <w:vAlign w:val="center"/>
          </w:tcPr>
          <w:p w14:paraId="2E91AB5F" w14:textId="77777777" w:rsidR="000734EF" w:rsidRPr="00860421" w:rsidRDefault="00553BA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Implementation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ntities</w:t>
            </w:r>
            <w:r w:rsidR="00065B57" w:rsidRPr="00860421">
              <w:rPr>
                <w:rFonts w:asciiTheme="minorHAnsi" w:hAnsiTheme="minorHAnsi" w:cstheme="minorHAnsi"/>
                <w:b/>
                <w:bCs/>
                <w:szCs w:val="22"/>
                <w:lang w:val="es-PA"/>
              </w:rPr>
              <w:t>:</w:t>
            </w:r>
          </w:p>
        </w:tc>
        <w:tc>
          <w:tcPr>
            <w:tcW w:w="5287" w:type="dxa"/>
            <w:vAlign w:val="center"/>
          </w:tcPr>
          <w:p w14:paraId="2E91AB60" w14:textId="09A94116"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UNDP</w:t>
            </w:r>
          </w:p>
        </w:tc>
      </w:tr>
      <w:tr w:rsidR="006D6B37" w:rsidRPr="00860421" w14:paraId="2E91AB64" w14:textId="77777777" w:rsidTr="006D6B37">
        <w:tc>
          <w:tcPr>
            <w:tcW w:w="4253" w:type="dxa"/>
            <w:shd w:val="clear" w:color="auto" w:fill="C0C0C0"/>
            <w:vAlign w:val="center"/>
          </w:tcPr>
          <w:p w14:paraId="2E91AB62"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S</w:t>
            </w:r>
            <w:r w:rsidRPr="00860421">
              <w:rPr>
                <w:rFonts w:asciiTheme="minorHAnsi" w:hAnsiTheme="minorHAnsi" w:cstheme="minorHAnsi"/>
                <w:b/>
                <w:bCs/>
                <w:szCs w:val="22"/>
                <w:lang w:val="es-PA"/>
              </w:rPr>
              <w:t xml:space="preserve">tart </w:t>
            </w:r>
            <w:r>
              <w:rPr>
                <w:rFonts w:asciiTheme="minorHAnsi" w:hAnsiTheme="minorHAnsi" w:cstheme="minorHAnsi"/>
                <w:b/>
                <w:bCs/>
                <w:szCs w:val="22"/>
                <w:lang w:val="es-PA"/>
              </w:rPr>
              <w:t>D</w:t>
            </w:r>
            <w:r w:rsidRPr="00860421">
              <w:rPr>
                <w:rFonts w:asciiTheme="minorHAnsi" w:hAnsiTheme="minorHAnsi" w:cstheme="minorHAnsi"/>
                <w:b/>
                <w:bCs/>
                <w:szCs w:val="22"/>
                <w:lang w:val="es-PA"/>
              </w:rPr>
              <w:t>ate:</w:t>
            </w:r>
          </w:p>
        </w:tc>
        <w:tc>
          <w:tcPr>
            <w:tcW w:w="5287" w:type="dxa"/>
            <w:vAlign w:val="center"/>
          </w:tcPr>
          <w:p w14:paraId="2E91AB63" w14:textId="2C4D25AA" w:rsidR="006D6B37" w:rsidRPr="004C74B4" w:rsidRDefault="00AF4C10"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April 7, 2014</w:t>
            </w:r>
          </w:p>
        </w:tc>
      </w:tr>
      <w:tr w:rsidR="006D6B37" w:rsidRPr="00860421" w14:paraId="2E91AB67" w14:textId="77777777" w:rsidTr="006D6B37">
        <w:tc>
          <w:tcPr>
            <w:tcW w:w="4253" w:type="dxa"/>
            <w:shd w:val="clear" w:color="auto" w:fill="C0C0C0"/>
            <w:vAlign w:val="center"/>
          </w:tcPr>
          <w:p w14:paraId="2E91AB65"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E</w:t>
            </w:r>
            <w:r w:rsidRPr="00860421">
              <w:rPr>
                <w:rFonts w:asciiTheme="minorHAnsi" w:hAnsiTheme="minorHAnsi" w:cstheme="minorHAnsi"/>
                <w:b/>
                <w:bCs/>
                <w:szCs w:val="22"/>
                <w:lang w:val="es-PA"/>
              </w:rPr>
              <w:t>nd date:</w:t>
            </w:r>
          </w:p>
        </w:tc>
        <w:tc>
          <w:tcPr>
            <w:tcW w:w="5287" w:type="dxa"/>
            <w:vAlign w:val="center"/>
          </w:tcPr>
          <w:p w14:paraId="2E91AB66" w14:textId="26AF4094" w:rsidR="006D6B37" w:rsidRPr="004C74B4" w:rsidRDefault="006D6B37"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 xml:space="preserve">December </w:t>
            </w:r>
            <w:r w:rsidR="00AF4C10">
              <w:rPr>
                <w:rFonts w:asciiTheme="minorHAnsi" w:hAnsiTheme="minorHAnsi" w:cstheme="minorHAnsi"/>
                <w:szCs w:val="22"/>
                <w:shd w:val="clear" w:color="auto" w:fill="FFFFFF" w:themeFill="background1"/>
                <w:lang w:val="es-PA"/>
              </w:rPr>
              <w:t xml:space="preserve">31, </w:t>
            </w:r>
            <w:r>
              <w:rPr>
                <w:rFonts w:asciiTheme="minorHAnsi" w:hAnsiTheme="minorHAnsi" w:cstheme="minorHAnsi"/>
                <w:szCs w:val="22"/>
                <w:shd w:val="clear" w:color="auto" w:fill="FFFFFF" w:themeFill="background1"/>
                <w:lang w:val="es-PA"/>
              </w:rPr>
              <w:t>201</w:t>
            </w:r>
            <w:r w:rsidR="00AF4C10">
              <w:rPr>
                <w:rFonts w:asciiTheme="minorHAnsi" w:hAnsiTheme="minorHAnsi" w:cstheme="minorHAnsi"/>
                <w:szCs w:val="22"/>
                <w:shd w:val="clear" w:color="auto" w:fill="FFFFFF" w:themeFill="background1"/>
                <w:lang w:val="es-PA"/>
              </w:rPr>
              <w:t>9</w:t>
            </w:r>
          </w:p>
        </w:tc>
      </w:tr>
      <w:tr w:rsidR="00231D43" w:rsidRPr="00860421" w14:paraId="2E91AB6A" w14:textId="77777777" w:rsidTr="006D6B37">
        <w:tc>
          <w:tcPr>
            <w:tcW w:w="4253" w:type="dxa"/>
            <w:shd w:val="clear" w:color="auto" w:fill="C0C0C0"/>
            <w:vAlign w:val="center"/>
          </w:tcPr>
          <w:p w14:paraId="2E91AB68" w14:textId="77777777" w:rsidR="00231D43" w:rsidRPr="00860421" w:rsidRDefault="0013124C"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Total Project Budget</w:t>
            </w:r>
            <w:r w:rsidR="00065B57" w:rsidRPr="00860421">
              <w:rPr>
                <w:rFonts w:asciiTheme="minorHAnsi" w:hAnsiTheme="minorHAnsi" w:cstheme="minorHAnsi"/>
                <w:b/>
                <w:bCs/>
                <w:szCs w:val="22"/>
                <w:lang w:val="en-US"/>
              </w:rPr>
              <w:t xml:space="preserve"> (</w:t>
            </w:r>
            <w:r w:rsidR="00231D43" w:rsidRPr="00860421">
              <w:rPr>
                <w:rFonts w:asciiTheme="minorHAnsi" w:hAnsiTheme="minorHAnsi" w:cstheme="minorHAnsi"/>
                <w:b/>
                <w:bCs/>
                <w:szCs w:val="22"/>
                <w:lang w:val="en-US"/>
              </w:rPr>
              <w:t>Award</w:t>
            </w:r>
            <w:r w:rsidR="00065B57" w:rsidRPr="00860421">
              <w:rPr>
                <w:rFonts w:asciiTheme="minorHAnsi" w:hAnsiTheme="minorHAnsi" w:cstheme="minorHAnsi"/>
                <w:b/>
                <w:bCs/>
                <w:szCs w:val="22"/>
                <w:lang w:val="en-US"/>
              </w:rPr>
              <w:t xml:space="preserve"> ID):</w:t>
            </w:r>
          </w:p>
        </w:tc>
        <w:tc>
          <w:tcPr>
            <w:tcW w:w="5287" w:type="dxa"/>
            <w:vAlign w:val="center"/>
          </w:tcPr>
          <w:p w14:paraId="2E91AB69" w14:textId="54FB2BCF" w:rsidR="00231D43" w:rsidRPr="004C74B4" w:rsidRDefault="001568FD" w:rsidP="007C77C9">
            <w:pPr>
              <w:tabs>
                <w:tab w:val="left" w:pos="4680"/>
              </w:tabs>
              <w:jc w:val="left"/>
              <w:rPr>
                <w:rFonts w:asciiTheme="minorHAnsi" w:hAnsiTheme="minorHAnsi" w:cstheme="minorHAnsi"/>
                <w:szCs w:val="22"/>
                <w:shd w:val="clear" w:color="auto" w:fill="FFFFFF" w:themeFill="background1"/>
                <w:lang w:val="en-US"/>
              </w:rPr>
            </w:pPr>
            <w:r w:rsidRPr="00CD2BCB">
              <w:rPr>
                <w:rFonts w:asciiTheme="minorHAnsi" w:hAnsiTheme="minorHAnsi" w:cstheme="minorHAnsi"/>
                <w:szCs w:val="22"/>
                <w:shd w:val="clear" w:color="auto" w:fill="FFFFFF" w:themeFill="background1"/>
                <w:lang w:val="en-US"/>
              </w:rPr>
              <w:t>USD 1,</w:t>
            </w:r>
            <w:r w:rsidR="00C30D43" w:rsidRPr="00CD2BCB">
              <w:rPr>
                <w:rFonts w:asciiTheme="minorHAnsi" w:hAnsiTheme="minorHAnsi" w:cstheme="minorHAnsi"/>
                <w:szCs w:val="22"/>
                <w:shd w:val="clear" w:color="auto" w:fill="FFFFFF" w:themeFill="background1"/>
                <w:lang w:val="en-US"/>
              </w:rPr>
              <w:t>236,551</w:t>
            </w:r>
          </w:p>
        </w:tc>
      </w:tr>
      <w:tr w:rsidR="00B00BD6" w:rsidRPr="00562605" w14:paraId="2E91AB6D" w14:textId="77777777" w:rsidTr="006D6B37">
        <w:tc>
          <w:tcPr>
            <w:tcW w:w="4253" w:type="dxa"/>
            <w:shd w:val="clear" w:color="auto" w:fill="C0C0C0"/>
            <w:vAlign w:val="center"/>
          </w:tcPr>
          <w:p w14:paraId="2E91AB6B" w14:textId="77777777" w:rsidR="00B00BD6" w:rsidRPr="00860421" w:rsidRDefault="004E6A3F"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Participating </w:t>
            </w:r>
            <w:r w:rsidR="00AB306C">
              <w:rPr>
                <w:rFonts w:asciiTheme="minorHAnsi" w:hAnsiTheme="minorHAnsi" w:cstheme="minorHAnsi"/>
                <w:b/>
                <w:bCs/>
                <w:szCs w:val="22"/>
                <w:lang w:val="en-US"/>
              </w:rPr>
              <w:t>C</w:t>
            </w:r>
            <w:r w:rsidRPr="00860421">
              <w:rPr>
                <w:rFonts w:asciiTheme="minorHAnsi" w:hAnsiTheme="minorHAnsi" w:cstheme="minorHAnsi"/>
                <w:b/>
                <w:bCs/>
                <w:szCs w:val="22"/>
                <w:lang w:val="en-US"/>
              </w:rPr>
              <w:t>ountries</w:t>
            </w:r>
            <w:r w:rsidR="00B00BD6" w:rsidRPr="00860421">
              <w:rPr>
                <w:rFonts w:asciiTheme="minorHAnsi" w:hAnsiTheme="minorHAnsi" w:cstheme="minorHAnsi"/>
                <w:b/>
                <w:bCs/>
                <w:szCs w:val="22"/>
                <w:lang w:val="en-US"/>
              </w:rPr>
              <w:t>:</w:t>
            </w:r>
          </w:p>
        </w:tc>
        <w:tc>
          <w:tcPr>
            <w:tcW w:w="5287" w:type="dxa"/>
            <w:vAlign w:val="center"/>
          </w:tcPr>
          <w:p w14:paraId="2E91AB6C" w14:textId="13806017" w:rsidR="00B00BD6" w:rsidRPr="004C74B4" w:rsidRDefault="00C30D43" w:rsidP="00344A43">
            <w:pPr>
              <w:tabs>
                <w:tab w:val="left" w:pos="4680"/>
              </w:tabs>
              <w:jc w:val="left"/>
              <w:rPr>
                <w:rFonts w:asciiTheme="minorHAnsi" w:hAnsiTheme="minorHAnsi" w:cstheme="minorHAnsi"/>
                <w:szCs w:val="22"/>
                <w:shd w:val="clear" w:color="auto" w:fill="FFFFFF" w:themeFill="background1"/>
                <w:lang w:val="es-PA"/>
              </w:rPr>
            </w:pPr>
            <w:r w:rsidRPr="00562605">
              <w:rPr>
                <w:rFonts w:asciiTheme="minorHAnsi" w:hAnsiTheme="minorHAnsi" w:cstheme="minorHAnsi"/>
                <w:szCs w:val="22"/>
                <w:shd w:val="clear" w:color="auto" w:fill="FFFFFF" w:themeFill="background1"/>
                <w:lang w:val="es-419"/>
              </w:rPr>
              <w:t>Cote d’Ivoire, Costa Rica,</w:t>
            </w:r>
            <w:r w:rsidR="00777029" w:rsidRPr="00562605">
              <w:rPr>
                <w:rFonts w:asciiTheme="minorHAnsi" w:hAnsiTheme="minorHAnsi" w:cstheme="minorHAnsi"/>
                <w:szCs w:val="22"/>
                <w:shd w:val="clear" w:color="auto" w:fill="FFFFFF" w:themeFill="background1"/>
                <w:lang w:val="es-419"/>
              </w:rPr>
              <w:t xml:space="preserve"> </w:t>
            </w:r>
            <w:r w:rsidRPr="00562605">
              <w:rPr>
                <w:rFonts w:asciiTheme="minorHAnsi" w:hAnsiTheme="minorHAnsi" w:cstheme="minorHAnsi"/>
                <w:szCs w:val="22"/>
                <w:shd w:val="clear" w:color="auto" w:fill="FFFFFF" w:themeFill="background1"/>
                <w:lang w:val="es-419"/>
              </w:rPr>
              <w:t xml:space="preserve">Ecuador, Ghana, </w:t>
            </w:r>
            <w:r w:rsidR="001568FD" w:rsidRPr="00562605">
              <w:rPr>
                <w:rFonts w:asciiTheme="minorHAnsi" w:hAnsiTheme="minorHAnsi" w:cstheme="minorHAnsi"/>
                <w:szCs w:val="22"/>
                <w:shd w:val="clear" w:color="auto" w:fill="FFFFFF" w:themeFill="background1"/>
                <w:lang w:val="es-419"/>
              </w:rPr>
              <w:t xml:space="preserve">Indonesia, </w:t>
            </w:r>
            <w:r w:rsidRPr="00562605">
              <w:rPr>
                <w:rFonts w:asciiTheme="minorHAnsi" w:hAnsiTheme="minorHAnsi" w:cstheme="minorHAnsi"/>
                <w:szCs w:val="22"/>
                <w:shd w:val="clear" w:color="auto" w:fill="FFFFFF" w:themeFill="background1"/>
                <w:lang w:val="es-419"/>
              </w:rPr>
              <w:t xml:space="preserve">Liberia, Papua New Guinea, Paraguay, </w:t>
            </w:r>
            <w:r w:rsidR="001568FD" w:rsidRPr="00562605">
              <w:rPr>
                <w:rFonts w:asciiTheme="minorHAnsi" w:hAnsiTheme="minorHAnsi" w:cstheme="minorHAnsi"/>
                <w:szCs w:val="22"/>
                <w:shd w:val="clear" w:color="auto" w:fill="FFFFFF" w:themeFill="background1"/>
                <w:lang w:val="es-419"/>
              </w:rPr>
              <w:t xml:space="preserve">Perú, </w:t>
            </w:r>
            <w:r w:rsidRPr="00562605">
              <w:rPr>
                <w:rFonts w:asciiTheme="minorHAnsi" w:hAnsiTheme="minorHAnsi" w:cstheme="minorHAnsi"/>
                <w:szCs w:val="22"/>
                <w:shd w:val="clear" w:color="auto" w:fill="FFFFFF" w:themeFill="background1"/>
                <w:lang w:val="es-419"/>
              </w:rPr>
              <w:t>Philippines</w:t>
            </w:r>
          </w:p>
        </w:tc>
      </w:tr>
      <w:tr w:rsidR="00B00BD6" w:rsidRPr="00860421" w14:paraId="2E91AB70" w14:textId="77777777" w:rsidTr="006D6B37">
        <w:tc>
          <w:tcPr>
            <w:tcW w:w="4253" w:type="dxa"/>
            <w:shd w:val="clear" w:color="auto" w:fill="C0C0C0"/>
            <w:vAlign w:val="center"/>
          </w:tcPr>
          <w:p w14:paraId="2E91AB6E" w14:textId="77777777" w:rsidR="00B00BD6" w:rsidRPr="00860421" w:rsidRDefault="00AB306C" w:rsidP="000C2E13">
            <w:pPr>
              <w:tabs>
                <w:tab w:val="left" w:pos="4680"/>
              </w:tabs>
              <w:rPr>
                <w:rFonts w:asciiTheme="minorHAnsi" w:hAnsiTheme="minorHAnsi" w:cstheme="minorHAnsi"/>
                <w:b/>
                <w:bCs/>
                <w:szCs w:val="22"/>
                <w:lang w:val="en-US"/>
              </w:rPr>
            </w:pPr>
            <w:r>
              <w:rPr>
                <w:rFonts w:asciiTheme="minorHAnsi" w:hAnsiTheme="minorHAnsi" w:cstheme="minorHAnsi"/>
                <w:b/>
                <w:bCs/>
                <w:szCs w:val="22"/>
                <w:lang w:val="en-US"/>
              </w:rPr>
              <w:t>Host C</w:t>
            </w:r>
            <w:r w:rsidR="00974C23" w:rsidRPr="00860421">
              <w:rPr>
                <w:rFonts w:asciiTheme="minorHAnsi" w:hAnsiTheme="minorHAnsi" w:cstheme="minorHAnsi"/>
                <w:b/>
                <w:bCs/>
                <w:szCs w:val="22"/>
                <w:lang w:val="en-US"/>
              </w:rPr>
              <w:t xml:space="preserve">ountry: </w:t>
            </w:r>
          </w:p>
        </w:tc>
        <w:tc>
          <w:tcPr>
            <w:tcW w:w="5287" w:type="dxa"/>
            <w:vAlign w:val="center"/>
          </w:tcPr>
          <w:p w14:paraId="2E91AB6F" w14:textId="3271929E" w:rsidR="00B00BD6" w:rsidRPr="004C74B4" w:rsidRDefault="00C30D43"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Global</w:t>
            </w:r>
          </w:p>
        </w:tc>
      </w:tr>
      <w:tr w:rsidR="00065B57" w:rsidRPr="00860421" w14:paraId="2E91AB73" w14:textId="77777777" w:rsidTr="006D6B37">
        <w:tc>
          <w:tcPr>
            <w:tcW w:w="4253" w:type="dxa"/>
            <w:shd w:val="clear" w:color="auto" w:fill="C0C0C0"/>
            <w:vAlign w:val="center"/>
          </w:tcPr>
          <w:p w14:paraId="2E91AB71" w14:textId="77777777" w:rsidR="00065B57" w:rsidRPr="00860421" w:rsidRDefault="008D5120"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Period of the </w:t>
            </w:r>
            <w:r w:rsidR="00AB306C">
              <w:rPr>
                <w:rFonts w:asciiTheme="minorHAnsi" w:hAnsiTheme="minorHAnsi" w:cstheme="minorHAnsi"/>
                <w:b/>
                <w:bCs/>
                <w:szCs w:val="22"/>
                <w:lang w:val="en-US"/>
              </w:rPr>
              <w:t>R</w:t>
            </w:r>
            <w:r w:rsidRPr="00860421">
              <w:rPr>
                <w:rFonts w:asciiTheme="minorHAnsi" w:hAnsiTheme="minorHAnsi" w:cstheme="minorHAnsi"/>
                <w:b/>
                <w:bCs/>
                <w:szCs w:val="22"/>
                <w:lang w:val="en-US"/>
              </w:rPr>
              <w:t>eport</w:t>
            </w:r>
            <w:r w:rsidR="00065B57" w:rsidRPr="00860421">
              <w:rPr>
                <w:rFonts w:asciiTheme="minorHAnsi" w:hAnsiTheme="minorHAnsi" w:cstheme="minorHAnsi"/>
                <w:b/>
                <w:bCs/>
                <w:szCs w:val="22"/>
                <w:lang w:val="en-US"/>
              </w:rPr>
              <w:t>:</w:t>
            </w:r>
          </w:p>
        </w:tc>
        <w:tc>
          <w:tcPr>
            <w:tcW w:w="5287" w:type="dxa"/>
            <w:vAlign w:val="center"/>
          </w:tcPr>
          <w:p w14:paraId="2E91AB72" w14:textId="20E1BF61" w:rsidR="00065B57" w:rsidRPr="001568FD" w:rsidRDefault="001568FD" w:rsidP="001568FD">
            <w:pPr>
              <w:pStyle w:val="Default"/>
              <w:rPr>
                <w:szCs w:val="22"/>
              </w:rPr>
            </w:pPr>
            <w:r>
              <w:rPr>
                <w:sz w:val="22"/>
                <w:szCs w:val="22"/>
              </w:rPr>
              <w:t>January 01, 201</w:t>
            </w:r>
            <w:r w:rsidR="00C30D43">
              <w:rPr>
                <w:sz w:val="22"/>
                <w:szCs w:val="22"/>
              </w:rPr>
              <w:t>8</w:t>
            </w:r>
            <w:r>
              <w:rPr>
                <w:sz w:val="22"/>
                <w:szCs w:val="22"/>
              </w:rPr>
              <w:t xml:space="preserve"> to December 31, 201</w:t>
            </w:r>
            <w:r w:rsidR="00C30D43">
              <w:rPr>
                <w:sz w:val="22"/>
                <w:szCs w:val="22"/>
              </w:rPr>
              <w:t>8</w:t>
            </w:r>
          </w:p>
        </w:tc>
      </w:tr>
      <w:tr w:rsidR="00F92B90" w:rsidRPr="00860421" w14:paraId="2E91AB76" w14:textId="77777777" w:rsidTr="006D6B37">
        <w:tc>
          <w:tcPr>
            <w:tcW w:w="4253" w:type="dxa"/>
            <w:shd w:val="clear" w:color="auto" w:fill="C0C0C0"/>
            <w:vAlign w:val="center"/>
          </w:tcPr>
          <w:p w14:paraId="2E91AB74" w14:textId="77777777" w:rsidR="00F92B90" w:rsidRPr="00860421" w:rsidRDefault="008C6F0C"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Total </w:t>
            </w:r>
            <w:r w:rsidR="00AB306C">
              <w:rPr>
                <w:rFonts w:asciiTheme="minorHAnsi" w:hAnsiTheme="minorHAnsi" w:cstheme="minorHAnsi"/>
                <w:b/>
                <w:bCs/>
                <w:szCs w:val="22"/>
                <w:lang w:val="en-US"/>
              </w:rPr>
              <w:t>E</w:t>
            </w:r>
            <w:r w:rsidRPr="00860421">
              <w:rPr>
                <w:rFonts w:asciiTheme="minorHAnsi" w:hAnsiTheme="minorHAnsi" w:cstheme="minorHAnsi"/>
                <w:b/>
                <w:bCs/>
                <w:szCs w:val="22"/>
                <w:lang w:val="en-US"/>
              </w:rPr>
              <w:t xml:space="preserve">xpenditure for </w:t>
            </w:r>
            <w:r w:rsidR="00D93CD4" w:rsidRPr="00860421">
              <w:rPr>
                <w:rFonts w:asciiTheme="minorHAnsi" w:hAnsiTheme="minorHAnsi" w:cstheme="minorHAnsi"/>
                <w:b/>
                <w:bCs/>
                <w:szCs w:val="22"/>
                <w:lang w:val="en-US"/>
              </w:rPr>
              <w:t xml:space="preserve">the </w:t>
            </w:r>
            <w:r w:rsidR="00AB306C">
              <w:rPr>
                <w:rFonts w:asciiTheme="minorHAnsi" w:hAnsiTheme="minorHAnsi" w:cstheme="minorHAnsi"/>
                <w:b/>
                <w:bCs/>
                <w:szCs w:val="22"/>
                <w:lang w:val="en-US"/>
              </w:rPr>
              <w:t>R</w:t>
            </w:r>
            <w:r w:rsidR="00D93CD4" w:rsidRPr="00860421">
              <w:rPr>
                <w:rFonts w:asciiTheme="minorHAnsi" w:hAnsiTheme="minorHAnsi" w:cstheme="minorHAnsi"/>
                <w:b/>
                <w:bCs/>
                <w:szCs w:val="22"/>
                <w:lang w:val="en-US"/>
              </w:rPr>
              <w:t>eport</w:t>
            </w:r>
            <w:r w:rsidRPr="00860421">
              <w:rPr>
                <w:rFonts w:asciiTheme="minorHAnsi" w:hAnsiTheme="minorHAnsi" w:cstheme="minorHAnsi"/>
                <w:b/>
                <w:bCs/>
                <w:szCs w:val="22"/>
                <w:lang w:val="en-US"/>
              </w:rPr>
              <w:t>ing</w:t>
            </w:r>
            <w:r w:rsidR="00AB306C">
              <w:rPr>
                <w:rFonts w:asciiTheme="minorHAnsi" w:hAnsiTheme="minorHAnsi" w:cstheme="minorHAnsi"/>
                <w:b/>
                <w:bCs/>
                <w:szCs w:val="22"/>
                <w:lang w:val="en-US"/>
              </w:rPr>
              <w:t xml:space="preserve"> P</w:t>
            </w:r>
            <w:r w:rsidR="00D93CD4" w:rsidRPr="00860421">
              <w:rPr>
                <w:rFonts w:asciiTheme="minorHAnsi" w:hAnsiTheme="minorHAnsi" w:cstheme="minorHAnsi"/>
                <w:b/>
                <w:bCs/>
                <w:szCs w:val="22"/>
                <w:lang w:val="en-US"/>
              </w:rPr>
              <w:t>eriod</w:t>
            </w:r>
            <w:r w:rsidR="00F92B90" w:rsidRPr="00860421">
              <w:rPr>
                <w:rFonts w:asciiTheme="minorHAnsi" w:hAnsiTheme="minorHAnsi" w:cstheme="minorHAnsi"/>
                <w:b/>
                <w:bCs/>
                <w:szCs w:val="22"/>
                <w:lang w:val="en-US"/>
              </w:rPr>
              <w:t>:</w:t>
            </w:r>
          </w:p>
        </w:tc>
        <w:tc>
          <w:tcPr>
            <w:tcW w:w="5287" w:type="dxa"/>
            <w:vAlign w:val="center"/>
          </w:tcPr>
          <w:p w14:paraId="2E91AB75" w14:textId="7EAED3EC" w:rsidR="00F92B90" w:rsidRPr="004C74B4" w:rsidRDefault="001568FD"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 xml:space="preserve"> </w:t>
            </w:r>
            <w:r w:rsidR="007C77C9" w:rsidRPr="00CD2BCB">
              <w:rPr>
                <w:rFonts w:asciiTheme="minorHAnsi" w:hAnsiTheme="minorHAnsi" w:cstheme="minorHAnsi"/>
                <w:szCs w:val="22"/>
                <w:shd w:val="clear" w:color="auto" w:fill="FFFFFF" w:themeFill="background1"/>
                <w:lang w:val="en-US"/>
              </w:rPr>
              <w:t>USD 1,00</w:t>
            </w:r>
            <w:r w:rsidR="00CD2BCB" w:rsidRPr="00CD2BCB">
              <w:rPr>
                <w:rFonts w:asciiTheme="minorHAnsi" w:hAnsiTheme="minorHAnsi" w:cstheme="minorHAnsi"/>
                <w:szCs w:val="22"/>
                <w:shd w:val="clear" w:color="auto" w:fill="FFFFFF" w:themeFill="background1"/>
                <w:lang w:val="en-US"/>
              </w:rPr>
              <w:t>1,152</w:t>
            </w:r>
          </w:p>
        </w:tc>
      </w:tr>
    </w:tbl>
    <w:p w14:paraId="2E91AB77" w14:textId="77777777" w:rsidR="005D16B3" w:rsidRPr="008D790E" w:rsidRDefault="005D16B3" w:rsidP="00F97642">
      <w:pPr>
        <w:tabs>
          <w:tab w:val="left" w:pos="4680"/>
        </w:tabs>
        <w:rPr>
          <w:rFonts w:asciiTheme="minorHAnsi" w:hAnsiTheme="minorHAnsi" w:cstheme="minorHAnsi"/>
          <w:szCs w:val="22"/>
          <w:shd w:val="clear" w:color="auto" w:fill="E0E0E0"/>
          <w:lang w:val="en-US"/>
        </w:rPr>
      </w:pPr>
    </w:p>
    <w:tbl>
      <w:tblPr>
        <w:tblStyle w:val="TableGrid"/>
        <w:tblW w:w="0" w:type="auto"/>
        <w:tblInd w:w="108" w:type="dxa"/>
        <w:tblLook w:val="01E0" w:firstRow="1" w:lastRow="1" w:firstColumn="1" w:lastColumn="1" w:noHBand="0" w:noVBand="0"/>
      </w:tblPr>
      <w:tblGrid>
        <w:gridCol w:w="9486"/>
      </w:tblGrid>
      <w:tr w:rsidR="00071D67" w:rsidRPr="00860421" w14:paraId="2E91AB79" w14:textId="77777777">
        <w:tc>
          <w:tcPr>
            <w:tcW w:w="9570" w:type="dxa"/>
            <w:shd w:val="clear" w:color="auto" w:fill="C0C0C0"/>
          </w:tcPr>
          <w:p w14:paraId="2E91AB78" w14:textId="77777777" w:rsidR="00071D67" w:rsidRPr="00AB306C" w:rsidRDefault="00AB306C" w:rsidP="005864F9">
            <w:pPr>
              <w:tabs>
                <w:tab w:val="left" w:pos="4680"/>
              </w:tabs>
              <w:jc w:val="center"/>
              <w:rPr>
                <w:rFonts w:asciiTheme="minorHAnsi" w:hAnsiTheme="minorHAnsi" w:cstheme="minorHAnsi"/>
                <w:b/>
                <w:szCs w:val="22"/>
                <w:shd w:val="clear" w:color="auto" w:fill="E0E0E0"/>
                <w:lang w:val="es-PA"/>
              </w:rPr>
            </w:pPr>
            <w:r w:rsidRPr="00AB306C">
              <w:rPr>
                <w:rFonts w:ascii="Calibri" w:hAnsi="Calibri"/>
                <w:b/>
                <w:szCs w:val="22"/>
              </w:rPr>
              <w:t>Brief Description</w:t>
            </w:r>
          </w:p>
        </w:tc>
      </w:tr>
      <w:tr w:rsidR="00071D67" w:rsidRPr="00860421" w14:paraId="2E91AB7E" w14:textId="77777777">
        <w:tc>
          <w:tcPr>
            <w:tcW w:w="9570" w:type="dxa"/>
          </w:tcPr>
          <w:p w14:paraId="1F2240C4" w14:textId="3C399158" w:rsidR="002D734B" w:rsidRDefault="002D734B" w:rsidP="002D734B">
            <w:pPr>
              <w:pStyle w:val="Default"/>
              <w:jc w:val="both"/>
              <w:rPr>
                <w:rFonts w:asciiTheme="minorHAnsi" w:hAnsiTheme="minorHAnsi" w:cstheme="minorHAnsi"/>
                <w:color w:val="auto"/>
                <w:sz w:val="22"/>
                <w:szCs w:val="22"/>
                <w:shd w:val="clear" w:color="auto" w:fill="FFFFFF" w:themeFill="background1"/>
              </w:rPr>
            </w:pPr>
            <w:r w:rsidRPr="002D734B">
              <w:rPr>
                <w:rFonts w:asciiTheme="minorHAnsi" w:hAnsiTheme="minorHAnsi" w:cstheme="minorHAnsi"/>
                <w:color w:val="auto"/>
                <w:sz w:val="22"/>
                <w:szCs w:val="22"/>
                <w:shd w:val="clear" w:color="auto" w:fill="FFFFFF" w:themeFill="background1"/>
              </w:rPr>
              <w:t xml:space="preserve">UNDP established the Green Commodities </w:t>
            </w:r>
            <w:proofErr w:type="spellStart"/>
            <w:r w:rsidRPr="002D734B">
              <w:rPr>
                <w:rFonts w:asciiTheme="minorHAnsi" w:hAnsiTheme="minorHAnsi" w:cstheme="minorHAnsi"/>
                <w:color w:val="auto"/>
                <w:sz w:val="22"/>
                <w:szCs w:val="22"/>
                <w:shd w:val="clear" w:color="auto" w:fill="FFFFFF" w:themeFill="background1"/>
              </w:rPr>
              <w:t>Programme</w:t>
            </w:r>
            <w:proofErr w:type="spellEnd"/>
            <w:r w:rsidRPr="002D734B">
              <w:rPr>
                <w:rFonts w:asciiTheme="minorHAnsi" w:hAnsiTheme="minorHAnsi" w:cstheme="minorHAnsi"/>
                <w:color w:val="auto"/>
                <w:sz w:val="22"/>
                <w:szCs w:val="22"/>
                <w:shd w:val="clear" w:color="auto" w:fill="FFFFFF" w:themeFill="background1"/>
              </w:rPr>
              <w:t xml:space="preserve"> in 2009 in recognition of global agricultural commodities and how they contribute to economic, social and environmental sustainability and the need to strengthen UNDP’s support and leadership in this field. </w:t>
            </w:r>
            <w:r w:rsidR="00420A6E">
              <w:rPr>
                <w:rFonts w:asciiTheme="minorHAnsi" w:hAnsiTheme="minorHAnsi" w:cstheme="minorHAnsi"/>
                <w:color w:val="auto"/>
                <w:sz w:val="22"/>
                <w:szCs w:val="22"/>
                <w:shd w:val="clear" w:color="auto" w:fill="FFFFFF" w:themeFill="background1"/>
              </w:rPr>
              <w:t xml:space="preserve">GCP works </w:t>
            </w:r>
            <w:r w:rsidRPr="002D734B">
              <w:rPr>
                <w:rFonts w:asciiTheme="minorHAnsi" w:hAnsiTheme="minorHAnsi" w:cstheme="minorHAnsi"/>
                <w:color w:val="auto"/>
                <w:sz w:val="22"/>
                <w:szCs w:val="22"/>
                <w:shd w:val="clear" w:color="auto" w:fill="FFFFFF" w:themeFill="background1"/>
              </w:rPr>
              <w:t>to transform agricultural production and trade across the globe by establishing sustainable agr</w:t>
            </w:r>
            <w:r w:rsidR="00C30D43">
              <w:rPr>
                <w:rFonts w:asciiTheme="minorHAnsi" w:hAnsiTheme="minorHAnsi" w:cstheme="minorHAnsi"/>
                <w:color w:val="auto"/>
                <w:sz w:val="22"/>
                <w:szCs w:val="22"/>
                <w:shd w:val="clear" w:color="auto" w:fill="FFFFFF" w:themeFill="background1"/>
              </w:rPr>
              <w:t xml:space="preserve">icultural </w:t>
            </w:r>
            <w:r w:rsidRPr="002D734B">
              <w:rPr>
                <w:rFonts w:asciiTheme="minorHAnsi" w:hAnsiTheme="minorHAnsi" w:cstheme="minorHAnsi"/>
                <w:color w:val="auto"/>
                <w:sz w:val="22"/>
                <w:szCs w:val="22"/>
                <w:shd w:val="clear" w:color="auto" w:fill="FFFFFF" w:themeFill="background1"/>
              </w:rPr>
              <w:t>commodity sectors in producer countries. It offers a holistic approach</w:t>
            </w:r>
            <w:r w:rsidR="00C30D43">
              <w:rPr>
                <w:rFonts w:asciiTheme="minorHAnsi" w:hAnsiTheme="minorHAnsi" w:cstheme="minorHAnsi"/>
                <w:color w:val="auto"/>
                <w:sz w:val="22"/>
                <w:szCs w:val="22"/>
                <w:shd w:val="clear" w:color="auto" w:fill="FFFFFF" w:themeFill="background1"/>
              </w:rPr>
              <w:t>,</w:t>
            </w:r>
            <w:r w:rsidRPr="002D734B">
              <w:rPr>
                <w:rFonts w:asciiTheme="minorHAnsi" w:hAnsiTheme="minorHAnsi" w:cstheme="minorHAnsi"/>
                <w:color w:val="auto"/>
                <w:sz w:val="22"/>
                <w:szCs w:val="22"/>
                <w:shd w:val="clear" w:color="auto" w:fill="FFFFFF" w:themeFill="background1"/>
              </w:rPr>
              <w:t xml:space="preserve"> bringing together public and private sector efforts to address the structural problems and </w:t>
            </w:r>
            <w:r w:rsidR="00C30D43">
              <w:rPr>
                <w:rFonts w:asciiTheme="minorHAnsi" w:hAnsiTheme="minorHAnsi" w:cstheme="minorHAnsi"/>
                <w:color w:val="auto"/>
                <w:sz w:val="22"/>
                <w:szCs w:val="22"/>
                <w:shd w:val="clear" w:color="auto" w:fill="FFFFFF" w:themeFill="background1"/>
              </w:rPr>
              <w:t xml:space="preserve">to </w:t>
            </w:r>
            <w:r w:rsidRPr="002D734B">
              <w:rPr>
                <w:rFonts w:asciiTheme="minorHAnsi" w:hAnsiTheme="minorHAnsi" w:cstheme="minorHAnsi"/>
                <w:color w:val="auto"/>
                <w:sz w:val="22"/>
                <w:szCs w:val="22"/>
                <w:shd w:val="clear" w:color="auto" w:fill="FFFFFF" w:themeFill="background1"/>
              </w:rPr>
              <w:t>institutionalize systemic solutions to sustainable commodity production</w:t>
            </w:r>
            <w:r w:rsidR="00420A6E">
              <w:rPr>
                <w:rFonts w:asciiTheme="minorHAnsi" w:hAnsiTheme="minorHAnsi" w:cstheme="minorHAnsi"/>
                <w:color w:val="auto"/>
                <w:sz w:val="22"/>
                <w:szCs w:val="22"/>
                <w:shd w:val="clear" w:color="auto" w:fill="FFFFFF" w:themeFill="background1"/>
              </w:rPr>
              <w:t>.</w:t>
            </w:r>
            <w:r w:rsidRPr="002D734B">
              <w:rPr>
                <w:rFonts w:asciiTheme="minorHAnsi" w:hAnsiTheme="minorHAnsi" w:cstheme="minorHAnsi"/>
                <w:color w:val="auto"/>
                <w:sz w:val="22"/>
                <w:szCs w:val="22"/>
                <w:shd w:val="clear" w:color="auto" w:fill="FFFFFF" w:themeFill="background1"/>
              </w:rPr>
              <w:t xml:space="preserve"> Indeed, no single stakeholder – government, private sector, civil society or international organizations – </w:t>
            </w:r>
            <w:r w:rsidRPr="002D734B">
              <w:rPr>
                <w:rFonts w:asciiTheme="minorHAnsi" w:hAnsiTheme="minorHAnsi" w:cstheme="minorHAnsi"/>
                <w:color w:val="auto"/>
                <w:sz w:val="22"/>
                <w:szCs w:val="22"/>
                <w:shd w:val="clear" w:color="auto" w:fill="FFFFFF" w:themeFill="background1"/>
              </w:rPr>
              <w:lastRenderedPageBreak/>
              <w:t xml:space="preserve">is capable of solving the issues in commodity supply chains alone. Poverty, deforestation, climate change, food security, water issues, biodiversity, </w:t>
            </w:r>
            <w:r w:rsidR="00420A6E">
              <w:rPr>
                <w:rFonts w:asciiTheme="minorHAnsi" w:hAnsiTheme="minorHAnsi" w:cstheme="minorHAnsi"/>
                <w:color w:val="auto"/>
                <w:sz w:val="22"/>
                <w:szCs w:val="22"/>
                <w:shd w:val="clear" w:color="auto" w:fill="FFFFFF" w:themeFill="background1"/>
              </w:rPr>
              <w:t xml:space="preserve">and </w:t>
            </w:r>
            <w:r w:rsidRPr="002D734B">
              <w:rPr>
                <w:rFonts w:asciiTheme="minorHAnsi" w:hAnsiTheme="minorHAnsi" w:cstheme="minorHAnsi"/>
                <w:color w:val="auto"/>
                <w:sz w:val="22"/>
                <w:szCs w:val="22"/>
                <w:shd w:val="clear" w:color="auto" w:fill="FFFFFF" w:themeFill="background1"/>
              </w:rPr>
              <w:t xml:space="preserve">land use policies are interlinked problems that require collaboration on an unprecedented scale. </w:t>
            </w:r>
          </w:p>
          <w:p w14:paraId="74242C82" w14:textId="77777777" w:rsidR="00420A6E" w:rsidRPr="002D734B" w:rsidRDefault="00420A6E" w:rsidP="002D734B">
            <w:pPr>
              <w:pStyle w:val="Default"/>
              <w:jc w:val="both"/>
              <w:rPr>
                <w:rFonts w:asciiTheme="minorHAnsi" w:hAnsiTheme="minorHAnsi" w:cstheme="minorHAnsi"/>
                <w:color w:val="auto"/>
                <w:sz w:val="22"/>
                <w:szCs w:val="22"/>
                <w:shd w:val="clear" w:color="auto" w:fill="FFFFFF" w:themeFill="background1"/>
              </w:rPr>
            </w:pPr>
          </w:p>
          <w:p w14:paraId="2E91AB7D" w14:textId="210632B0" w:rsidR="00E10F87" w:rsidRPr="00860421" w:rsidRDefault="002D734B" w:rsidP="00987F12">
            <w:pPr>
              <w:pStyle w:val="Default"/>
              <w:rPr>
                <w:rFonts w:asciiTheme="minorHAnsi" w:hAnsiTheme="minorHAnsi" w:cstheme="minorHAnsi"/>
                <w:sz w:val="22"/>
                <w:szCs w:val="22"/>
                <w:shd w:val="clear" w:color="auto" w:fill="E0E0E0"/>
              </w:rPr>
            </w:pPr>
            <w:r w:rsidRPr="002D734B">
              <w:rPr>
                <w:rFonts w:asciiTheme="minorHAnsi" w:hAnsiTheme="minorHAnsi" w:cstheme="minorHAnsi"/>
                <w:color w:val="auto"/>
                <w:sz w:val="22"/>
                <w:szCs w:val="22"/>
                <w:shd w:val="clear" w:color="auto" w:fill="FFFFFF" w:themeFill="background1"/>
              </w:rPr>
              <w:t xml:space="preserve">The </w:t>
            </w:r>
            <w:r w:rsidR="00072AD9">
              <w:rPr>
                <w:rFonts w:asciiTheme="minorHAnsi" w:hAnsiTheme="minorHAnsi" w:cstheme="minorHAnsi"/>
                <w:color w:val="auto"/>
                <w:sz w:val="22"/>
                <w:szCs w:val="22"/>
                <w:shd w:val="clear" w:color="auto" w:fill="FFFFFF" w:themeFill="background1"/>
              </w:rPr>
              <w:t>objective</w:t>
            </w:r>
            <w:r w:rsidR="00072AD9" w:rsidRPr="002D734B">
              <w:rPr>
                <w:rFonts w:asciiTheme="minorHAnsi" w:hAnsiTheme="minorHAnsi" w:cstheme="minorHAnsi"/>
                <w:color w:val="auto"/>
                <w:sz w:val="22"/>
                <w:szCs w:val="22"/>
                <w:shd w:val="clear" w:color="auto" w:fill="FFFFFF" w:themeFill="background1"/>
              </w:rPr>
              <w:t xml:space="preserve"> </w:t>
            </w:r>
            <w:r w:rsidRPr="002D734B">
              <w:rPr>
                <w:rFonts w:asciiTheme="minorHAnsi" w:hAnsiTheme="minorHAnsi" w:cstheme="minorHAnsi"/>
                <w:color w:val="auto"/>
                <w:sz w:val="22"/>
                <w:szCs w:val="22"/>
                <w:shd w:val="clear" w:color="auto" w:fill="FFFFFF" w:themeFill="background1"/>
              </w:rPr>
              <w:t xml:space="preserve">of the Green Commodities </w:t>
            </w:r>
            <w:proofErr w:type="spellStart"/>
            <w:r w:rsidRPr="002D734B">
              <w:rPr>
                <w:rFonts w:asciiTheme="minorHAnsi" w:hAnsiTheme="minorHAnsi" w:cstheme="minorHAnsi"/>
                <w:color w:val="auto"/>
                <w:sz w:val="22"/>
                <w:szCs w:val="22"/>
                <w:shd w:val="clear" w:color="auto" w:fill="FFFFFF" w:themeFill="background1"/>
              </w:rPr>
              <w:t>programme</w:t>
            </w:r>
            <w:proofErr w:type="spellEnd"/>
            <w:r w:rsidRPr="002D734B">
              <w:rPr>
                <w:rFonts w:asciiTheme="minorHAnsi" w:hAnsiTheme="minorHAnsi" w:cstheme="minorHAnsi"/>
                <w:color w:val="auto"/>
                <w:sz w:val="22"/>
                <w:szCs w:val="22"/>
                <w:shd w:val="clear" w:color="auto" w:fill="FFFFFF" w:themeFill="background1"/>
              </w:rPr>
              <w:t xml:space="preserve"> is to enable 8 million farmers managing 20 million hectares to improve their practices by 2020. This has the potential to benefit 40 million people worldwide. To make these changes possible at such a large scale, GCP works to address root causes limiting sustainability of sectors and establish enabling environments at the national level. An effective enabling environment consist</w:t>
            </w:r>
            <w:r w:rsidR="00072AD9">
              <w:rPr>
                <w:rFonts w:asciiTheme="minorHAnsi" w:hAnsiTheme="minorHAnsi" w:cstheme="minorHAnsi"/>
                <w:color w:val="auto"/>
                <w:sz w:val="22"/>
                <w:szCs w:val="22"/>
                <w:shd w:val="clear" w:color="auto" w:fill="FFFFFF" w:themeFill="background1"/>
              </w:rPr>
              <w:t>s</w:t>
            </w:r>
            <w:r w:rsidRPr="002D734B">
              <w:rPr>
                <w:rFonts w:asciiTheme="minorHAnsi" w:hAnsiTheme="minorHAnsi" w:cstheme="minorHAnsi"/>
                <w:color w:val="auto"/>
                <w:sz w:val="22"/>
                <w:szCs w:val="22"/>
                <w:shd w:val="clear" w:color="auto" w:fill="FFFFFF" w:themeFill="background1"/>
              </w:rPr>
              <w:t xml:space="preserve"> of elements such as clear public policies, a well-functioning legal framework, clarity regarding land use planning, effective enforcement mechanisms, accessible credit structures and effective farmer extension services. </w:t>
            </w:r>
          </w:p>
        </w:tc>
      </w:tr>
    </w:tbl>
    <w:p w14:paraId="2E91AB7F" w14:textId="77777777" w:rsidR="00071D67" w:rsidRPr="00E10F87" w:rsidRDefault="00071D67" w:rsidP="00F97642">
      <w:pPr>
        <w:tabs>
          <w:tab w:val="left" w:pos="4680"/>
        </w:tabs>
        <w:rPr>
          <w:rFonts w:ascii="Myriad Pro" w:hAnsi="Myriad Pro"/>
          <w:sz w:val="16"/>
          <w:szCs w:val="16"/>
          <w:shd w:val="clear" w:color="auto" w:fill="E0E0E0"/>
          <w:lang w:val="en-US"/>
        </w:rPr>
      </w:pPr>
    </w:p>
    <w:p w14:paraId="2E91AB80" w14:textId="77777777" w:rsidR="00825305" w:rsidRPr="00C5101B" w:rsidRDefault="003D5A97" w:rsidP="00CE6BAC">
      <w:pPr>
        <w:numPr>
          <w:ilvl w:val="0"/>
          <w:numId w:val="2"/>
        </w:numPr>
        <w:tabs>
          <w:tab w:val="left" w:pos="4680"/>
        </w:tabs>
        <w:rPr>
          <w:rFonts w:ascii="Myriad Pro" w:hAnsi="Myriad Pro" w:cs="Arial"/>
          <w:b/>
          <w:bCs/>
          <w:sz w:val="20"/>
          <w:szCs w:val="20"/>
          <w:lang w:val="es-PA"/>
        </w:rPr>
      </w:pPr>
      <w:r>
        <w:rPr>
          <w:rFonts w:ascii="Myriad Pro" w:hAnsi="Myriad Pro" w:cs="Arial"/>
          <w:b/>
          <w:bCs/>
          <w:sz w:val="20"/>
          <w:szCs w:val="20"/>
          <w:lang w:val="es-PA"/>
        </w:rPr>
        <w:t xml:space="preserve">MAIN ACHIEVEMENTS OF THE PROJECT </w:t>
      </w:r>
    </w:p>
    <w:p w14:paraId="2E91AB81" w14:textId="77777777" w:rsidR="00E964D1" w:rsidRPr="00C5101B" w:rsidRDefault="00E964D1" w:rsidP="00E964D1">
      <w:pPr>
        <w:tabs>
          <w:tab w:val="left" w:pos="4680"/>
        </w:tabs>
        <w:ind w:left="360"/>
        <w:rPr>
          <w:rFonts w:ascii="Myriad Pro" w:hAnsi="Myriad Pro"/>
          <w:sz w:val="16"/>
          <w:szCs w:val="16"/>
          <w:shd w:val="clear" w:color="auto" w:fill="E0E0E0"/>
          <w:lang w:val="es-PA"/>
        </w:rPr>
      </w:pPr>
    </w:p>
    <w:tbl>
      <w:tblPr>
        <w:tblStyle w:val="TableGrid"/>
        <w:tblW w:w="0" w:type="auto"/>
        <w:tblInd w:w="108" w:type="dxa"/>
        <w:tblLook w:val="01E0" w:firstRow="1" w:lastRow="1" w:firstColumn="1" w:lastColumn="1" w:noHBand="0" w:noVBand="0"/>
      </w:tblPr>
      <w:tblGrid>
        <w:gridCol w:w="9486"/>
      </w:tblGrid>
      <w:tr w:rsidR="000B0D43" w:rsidRPr="000A3286" w14:paraId="2E91AB83" w14:textId="77777777">
        <w:tc>
          <w:tcPr>
            <w:tcW w:w="9570" w:type="dxa"/>
            <w:shd w:val="clear" w:color="auto" w:fill="C0C0C0"/>
          </w:tcPr>
          <w:p w14:paraId="2E91AB82" w14:textId="264D6364" w:rsidR="000B0D43" w:rsidRPr="000A3286" w:rsidRDefault="00262FD2" w:rsidP="00262FD2">
            <w:pPr>
              <w:tabs>
                <w:tab w:val="left" w:pos="4680"/>
              </w:tabs>
              <w:jc w:val="left"/>
              <w:rPr>
                <w:rFonts w:asciiTheme="minorHAnsi" w:hAnsiTheme="minorHAnsi" w:cstheme="minorHAnsi"/>
                <w:b/>
                <w:szCs w:val="22"/>
                <w:shd w:val="clear" w:color="auto" w:fill="E0E0E0"/>
                <w:lang w:val="en-US"/>
              </w:rPr>
            </w:pPr>
            <w:r w:rsidRPr="000A3286">
              <w:rPr>
                <w:rFonts w:asciiTheme="minorHAnsi" w:hAnsiTheme="minorHAnsi" w:cstheme="minorHAnsi"/>
                <w:b/>
                <w:bCs/>
                <w:szCs w:val="22"/>
                <w:lang w:val="en-US"/>
              </w:rPr>
              <w:t>Description of the main achievement</w:t>
            </w:r>
            <w:r w:rsidR="000A3286">
              <w:rPr>
                <w:rFonts w:asciiTheme="minorHAnsi" w:hAnsiTheme="minorHAnsi" w:cstheme="minorHAnsi"/>
                <w:b/>
                <w:bCs/>
                <w:szCs w:val="22"/>
                <w:lang w:val="en-US"/>
              </w:rPr>
              <w:t>s</w:t>
            </w:r>
            <w:r w:rsidR="00221D96">
              <w:rPr>
                <w:rFonts w:asciiTheme="minorHAnsi" w:hAnsiTheme="minorHAnsi" w:cstheme="minorHAnsi"/>
                <w:b/>
                <w:bCs/>
                <w:szCs w:val="22"/>
                <w:lang w:val="en-US"/>
              </w:rPr>
              <w:t xml:space="preserve"> of the Project</w:t>
            </w:r>
            <w:r w:rsidR="00D04AC7" w:rsidRPr="000A3286">
              <w:rPr>
                <w:rFonts w:asciiTheme="minorHAnsi" w:hAnsiTheme="minorHAnsi" w:cstheme="minorHAnsi"/>
                <w:b/>
                <w:bCs/>
                <w:szCs w:val="22"/>
                <w:lang w:val="en-US"/>
              </w:rPr>
              <w:t xml:space="preserve"> </w:t>
            </w:r>
            <w:r w:rsidRPr="000A3286">
              <w:rPr>
                <w:rFonts w:asciiTheme="minorHAnsi" w:hAnsiTheme="minorHAnsi" w:cstheme="minorHAnsi"/>
                <w:b/>
                <w:bCs/>
                <w:szCs w:val="22"/>
                <w:lang w:val="en-US"/>
              </w:rPr>
              <w:t xml:space="preserve">throughout the year </w:t>
            </w:r>
            <w:r w:rsidR="00725C6B">
              <w:rPr>
                <w:rFonts w:asciiTheme="minorHAnsi" w:hAnsiTheme="minorHAnsi" w:cstheme="minorHAnsi"/>
                <w:b/>
                <w:bCs/>
                <w:szCs w:val="22"/>
                <w:lang w:val="en-US"/>
              </w:rPr>
              <w:t>per output</w:t>
            </w:r>
          </w:p>
        </w:tc>
      </w:tr>
      <w:tr w:rsidR="000B0D43" w:rsidRPr="00262FD2" w14:paraId="2E91ABF6" w14:textId="77777777">
        <w:tc>
          <w:tcPr>
            <w:tcW w:w="9570" w:type="dxa"/>
          </w:tcPr>
          <w:p w14:paraId="2E91AB84" w14:textId="5D263E55" w:rsidR="000A3286" w:rsidRDefault="000A3286" w:rsidP="000A3286">
            <w:pPr>
              <w:spacing w:after="0"/>
              <w:rPr>
                <w:rFonts w:cs="Calibri"/>
                <w:color w:val="000000"/>
                <w:sz w:val="20"/>
                <w:szCs w:val="20"/>
              </w:rPr>
            </w:pPr>
          </w:p>
          <w:p w14:paraId="4695124D" w14:textId="3022CA0F" w:rsidR="008D2CC3"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GCP strategy:</w:t>
            </w:r>
          </w:p>
          <w:p w14:paraId="017A8518" w14:textId="5ECC8322" w:rsidR="00596ADB" w:rsidRDefault="007043FF" w:rsidP="00F12AD1">
            <w:pPr>
              <w:pStyle w:val="ListParagraph"/>
              <w:numPr>
                <w:ilvl w:val="0"/>
                <w:numId w:val="31"/>
              </w:numPr>
              <w:spacing w:before="60"/>
              <w:rPr>
                <w:rFonts w:ascii="Calibri" w:hAnsi="Calibri"/>
                <w:sz w:val="22"/>
                <w:szCs w:val="22"/>
              </w:rPr>
            </w:pPr>
            <w:r w:rsidRPr="007043FF">
              <w:rPr>
                <w:rFonts w:ascii="Calibri" w:hAnsi="Calibri"/>
                <w:sz w:val="22"/>
                <w:szCs w:val="22"/>
              </w:rPr>
              <w:t xml:space="preserve">GCP Strategy 2017-2020 was </w:t>
            </w:r>
            <w:r w:rsidR="0004182D">
              <w:rPr>
                <w:rFonts w:ascii="Calibri" w:hAnsi="Calibri"/>
                <w:sz w:val="22"/>
                <w:szCs w:val="22"/>
              </w:rPr>
              <w:t>reviewed and updated in Q2</w:t>
            </w:r>
            <w:r w:rsidRPr="007043FF">
              <w:rPr>
                <w:rFonts w:ascii="Calibri" w:hAnsi="Calibri"/>
                <w:sz w:val="22"/>
                <w:szCs w:val="22"/>
              </w:rPr>
              <w:t xml:space="preserve"> to further align the 201</w:t>
            </w:r>
            <w:r w:rsidR="0004182D">
              <w:rPr>
                <w:rFonts w:ascii="Calibri" w:hAnsi="Calibri"/>
                <w:sz w:val="22"/>
                <w:szCs w:val="22"/>
              </w:rPr>
              <w:t>9</w:t>
            </w:r>
            <w:r w:rsidRPr="007043FF">
              <w:rPr>
                <w:rFonts w:ascii="Calibri" w:hAnsi="Calibri"/>
                <w:sz w:val="22"/>
                <w:szCs w:val="22"/>
              </w:rPr>
              <w:t xml:space="preserve"> planning processes with the strategy and new project portfolio, imperatives and capacity of the GCP team.</w:t>
            </w:r>
          </w:p>
          <w:p w14:paraId="525FDEC8" w14:textId="49646BDF" w:rsidR="0004182D" w:rsidRPr="00562605" w:rsidRDefault="007043FF" w:rsidP="0004182D">
            <w:pPr>
              <w:pStyle w:val="ListParagraph"/>
              <w:numPr>
                <w:ilvl w:val="0"/>
                <w:numId w:val="31"/>
              </w:numPr>
              <w:spacing w:before="60"/>
              <w:rPr>
                <w:rFonts w:ascii="Myriad Pro" w:hAnsi="Myriad Pro"/>
                <w:sz w:val="20"/>
                <w:szCs w:val="16"/>
                <w:shd w:val="clear" w:color="auto" w:fill="E0E0E0"/>
              </w:rPr>
            </w:pPr>
            <w:r w:rsidRPr="00596ADB">
              <w:rPr>
                <w:rFonts w:ascii="Calibri" w:hAnsi="Calibri"/>
                <w:sz w:val="22"/>
                <w:szCs w:val="22"/>
              </w:rPr>
              <w:t xml:space="preserve">GCP </w:t>
            </w:r>
            <w:r w:rsidR="0004182D">
              <w:rPr>
                <w:rFonts w:ascii="Calibri" w:hAnsi="Calibri"/>
                <w:sz w:val="22"/>
                <w:szCs w:val="22"/>
              </w:rPr>
              <w:t>M</w:t>
            </w:r>
            <w:r w:rsidRPr="00596ADB">
              <w:rPr>
                <w:rFonts w:ascii="Calibri" w:hAnsi="Calibri"/>
                <w:sz w:val="22"/>
                <w:szCs w:val="22"/>
              </w:rPr>
              <w:t xml:space="preserve">anagement </w:t>
            </w:r>
            <w:r w:rsidR="0004182D">
              <w:rPr>
                <w:rFonts w:ascii="Calibri" w:hAnsi="Calibri"/>
                <w:sz w:val="22"/>
                <w:szCs w:val="22"/>
              </w:rPr>
              <w:t>C</w:t>
            </w:r>
            <w:r w:rsidRPr="00596ADB">
              <w:rPr>
                <w:rFonts w:ascii="Calibri" w:hAnsi="Calibri"/>
                <w:sz w:val="22"/>
                <w:szCs w:val="22"/>
              </w:rPr>
              <w:t xml:space="preserve">ommittee </w:t>
            </w:r>
            <w:r w:rsidR="0004182D">
              <w:rPr>
                <w:rFonts w:ascii="Calibri" w:hAnsi="Calibri"/>
                <w:sz w:val="22"/>
                <w:szCs w:val="22"/>
              </w:rPr>
              <w:t>operated throughout 2018 and in Q4 evolved into a Strategic Committee</w:t>
            </w:r>
            <w:r w:rsidRPr="00596ADB">
              <w:rPr>
                <w:rFonts w:ascii="Calibri" w:hAnsi="Calibri"/>
                <w:sz w:val="22"/>
                <w:szCs w:val="22"/>
              </w:rPr>
              <w:t xml:space="preserve"> to </w:t>
            </w:r>
            <w:r w:rsidR="0004182D">
              <w:rPr>
                <w:rFonts w:ascii="Calibri" w:hAnsi="Calibri"/>
                <w:sz w:val="22"/>
                <w:szCs w:val="22"/>
              </w:rPr>
              <w:t xml:space="preserve">oversee team management and development of strategies aligned with the GCP Strategy and Values and to support the team to deliver 2019 objectives. </w:t>
            </w:r>
          </w:p>
          <w:p w14:paraId="16D05BD6" w14:textId="065BCEE2" w:rsidR="0004182D" w:rsidRPr="00596ADB" w:rsidRDefault="0004182D" w:rsidP="00F12AD1">
            <w:pPr>
              <w:pStyle w:val="ListParagraph"/>
              <w:numPr>
                <w:ilvl w:val="0"/>
                <w:numId w:val="31"/>
              </w:numPr>
              <w:spacing w:before="60"/>
              <w:rPr>
                <w:rFonts w:ascii="Calibri" w:hAnsi="Calibri"/>
                <w:sz w:val="22"/>
                <w:szCs w:val="22"/>
              </w:rPr>
            </w:pPr>
            <w:r>
              <w:rPr>
                <w:rFonts w:ascii="Calibri" w:hAnsi="Calibri"/>
                <w:sz w:val="22"/>
                <w:szCs w:val="22"/>
              </w:rPr>
              <w:t xml:space="preserve">Comprehensive theory of change of commodity sector transformation was developed and launched for external consultation. A GCP M&amp;E system was designed and implemented, including new tools and mechanisms and linked to the theory of change. </w:t>
            </w:r>
          </w:p>
          <w:p w14:paraId="4B64CDB1" w14:textId="77777777" w:rsidR="007043FF"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 xml:space="preserve">Guidance documents and platforms: </w:t>
            </w:r>
          </w:p>
          <w:p w14:paraId="0D384D01" w14:textId="489B758B" w:rsidR="00596ADB" w:rsidRDefault="00A75B28" w:rsidP="00F12AD1">
            <w:pPr>
              <w:pStyle w:val="ListParagraph"/>
              <w:numPr>
                <w:ilvl w:val="0"/>
                <w:numId w:val="32"/>
              </w:numPr>
              <w:spacing w:before="60"/>
              <w:rPr>
                <w:rFonts w:ascii="Calibri" w:hAnsi="Calibri"/>
                <w:sz w:val="22"/>
                <w:szCs w:val="22"/>
              </w:rPr>
            </w:pPr>
            <w:r>
              <w:rPr>
                <w:rFonts w:ascii="Calibri" w:hAnsi="Calibri"/>
                <w:sz w:val="22"/>
                <w:szCs w:val="22"/>
              </w:rPr>
              <w:t>Guidance documents on commodity platform dialogue and national action plan processes and implementation were finalized and</w:t>
            </w:r>
            <w:r w:rsidR="007043FF" w:rsidRPr="00596ADB">
              <w:rPr>
                <w:rFonts w:ascii="Calibri" w:hAnsi="Calibri"/>
                <w:sz w:val="22"/>
                <w:szCs w:val="22"/>
              </w:rPr>
              <w:t xml:space="preserve"> made available to the GCP community</w:t>
            </w:r>
            <w:r w:rsidR="00596ADB">
              <w:rPr>
                <w:rFonts w:ascii="Calibri" w:hAnsi="Calibri"/>
                <w:sz w:val="22"/>
                <w:szCs w:val="22"/>
              </w:rPr>
              <w:t>.</w:t>
            </w:r>
          </w:p>
          <w:p w14:paraId="4FAB88F9" w14:textId="0EF93B41" w:rsidR="007043FF" w:rsidRDefault="007043FF" w:rsidP="00F12AD1">
            <w:pPr>
              <w:pStyle w:val="ListParagraph"/>
              <w:numPr>
                <w:ilvl w:val="0"/>
                <w:numId w:val="32"/>
              </w:numPr>
              <w:spacing w:before="60"/>
              <w:rPr>
                <w:rFonts w:ascii="Calibri" w:hAnsi="Calibri"/>
                <w:sz w:val="22"/>
                <w:szCs w:val="22"/>
              </w:rPr>
            </w:pPr>
            <w:r w:rsidRPr="00596ADB">
              <w:rPr>
                <w:rFonts w:ascii="Calibri" w:hAnsi="Calibri"/>
                <w:sz w:val="22"/>
                <w:szCs w:val="22"/>
              </w:rPr>
              <w:t xml:space="preserve">GCP focal points provided tailored support to Platform Teams </w:t>
            </w:r>
            <w:r w:rsidR="00596ADB" w:rsidRPr="00596ADB">
              <w:rPr>
                <w:rFonts w:ascii="Calibri" w:hAnsi="Calibri"/>
                <w:sz w:val="22"/>
                <w:szCs w:val="22"/>
              </w:rPr>
              <w:t xml:space="preserve">for: Indonesia </w:t>
            </w:r>
            <w:r w:rsidR="00482983">
              <w:rPr>
                <w:rFonts w:ascii="Calibri" w:hAnsi="Calibri"/>
                <w:sz w:val="22"/>
                <w:szCs w:val="22"/>
              </w:rPr>
              <w:t>p</w:t>
            </w:r>
            <w:r w:rsidR="00596ADB" w:rsidRPr="00596ADB">
              <w:rPr>
                <w:rFonts w:ascii="Calibri" w:hAnsi="Calibri"/>
                <w:sz w:val="22"/>
                <w:szCs w:val="22"/>
              </w:rPr>
              <w:t xml:space="preserve">alm </w:t>
            </w:r>
            <w:r w:rsidR="00482983">
              <w:rPr>
                <w:rFonts w:ascii="Calibri" w:hAnsi="Calibri"/>
                <w:sz w:val="22"/>
                <w:szCs w:val="22"/>
              </w:rPr>
              <w:t>o</w:t>
            </w:r>
            <w:r w:rsidR="00596ADB" w:rsidRPr="00596ADB">
              <w:rPr>
                <w:rFonts w:ascii="Calibri" w:hAnsi="Calibri"/>
                <w:sz w:val="22"/>
                <w:szCs w:val="22"/>
              </w:rPr>
              <w:t>il</w:t>
            </w:r>
            <w:r w:rsidR="00482983">
              <w:rPr>
                <w:rFonts w:ascii="Calibri" w:hAnsi="Calibri"/>
                <w:sz w:val="22"/>
                <w:szCs w:val="22"/>
              </w:rPr>
              <w:t xml:space="preserve">; </w:t>
            </w:r>
            <w:r w:rsidRPr="00596ADB">
              <w:rPr>
                <w:rFonts w:ascii="Calibri" w:hAnsi="Calibri"/>
                <w:sz w:val="22"/>
                <w:szCs w:val="22"/>
              </w:rPr>
              <w:t xml:space="preserve">Paraguay </w:t>
            </w:r>
            <w:r w:rsidR="00482983">
              <w:rPr>
                <w:rFonts w:ascii="Calibri" w:hAnsi="Calibri"/>
                <w:sz w:val="22"/>
                <w:szCs w:val="22"/>
              </w:rPr>
              <w:t>b</w:t>
            </w:r>
            <w:r w:rsidRPr="00596ADB">
              <w:rPr>
                <w:rFonts w:ascii="Calibri" w:hAnsi="Calibri"/>
                <w:sz w:val="22"/>
                <w:szCs w:val="22"/>
              </w:rPr>
              <w:t xml:space="preserve">eef and </w:t>
            </w:r>
            <w:r w:rsidR="00482983">
              <w:rPr>
                <w:rFonts w:ascii="Calibri" w:hAnsi="Calibri"/>
                <w:sz w:val="22"/>
                <w:szCs w:val="22"/>
              </w:rPr>
              <w:t>s</w:t>
            </w:r>
            <w:r w:rsidRPr="00596ADB">
              <w:rPr>
                <w:rFonts w:ascii="Calibri" w:hAnsi="Calibri"/>
                <w:sz w:val="22"/>
                <w:szCs w:val="22"/>
              </w:rPr>
              <w:t>oy</w:t>
            </w:r>
            <w:r w:rsidR="00482983">
              <w:rPr>
                <w:rFonts w:ascii="Calibri" w:hAnsi="Calibri"/>
                <w:sz w:val="22"/>
                <w:szCs w:val="22"/>
              </w:rPr>
              <w:t>;</w:t>
            </w:r>
            <w:r w:rsidRPr="00596ADB">
              <w:rPr>
                <w:rFonts w:ascii="Calibri" w:hAnsi="Calibri"/>
                <w:sz w:val="22"/>
                <w:szCs w:val="22"/>
              </w:rPr>
              <w:t xml:space="preserve"> Global Marine Commodities</w:t>
            </w:r>
            <w:r w:rsidR="00482983">
              <w:rPr>
                <w:rFonts w:ascii="Calibri" w:hAnsi="Calibri"/>
                <w:sz w:val="22"/>
                <w:szCs w:val="22"/>
              </w:rPr>
              <w:t xml:space="preserve"> in Ecuador, Costa Rica, Indonesia, and the Philippines;</w:t>
            </w:r>
            <w:r w:rsidRPr="00596ADB">
              <w:rPr>
                <w:rFonts w:ascii="Calibri" w:hAnsi="Calibri"/>
                <w:sz w:val="22"/>
                <w:szCs w:val="22"/>
              </w:rPr>
              <w:t xml:space="preserve"> Liberia </w:t>
            </w:r>
            <w:r w:rsidR="00596ADB" w:rsidRPr="00596ADB">
              <w:rPr>
                <w:rFonts w:ascii="Calibri" w:hAnsi="Calibri"/>
                <w:sz w:val="22"/>
                <w:szCs w:val="22"/>
              </w:rPr>
              <w:t>Palm Oil</w:t>
            </w:r>
            <w:r w:rsidR="00482983">
              <w:rPr>
                <w:rFonts w:ascii="Calibri" w:hAnsi="Calibri"/>
                <w:sz w:val="22"/>
                <w:szCs w:val="22"/>
              </w:rPr>
              <w:t>;</w:t>
            </w:r>
            <w:r w:rsidR="00596ADB" w:rsidRPr="00596ADB">
              <w:rPr>
                <w:rFonts w:ascii="Calibri" w:hAnsi="Calibri"/>
                <w:sz w:val="22"/>
                <w:szCs w:val="22"/>
              </w:rPr>
              <w:t xml:space="preserve"> </w:t>
            </w:r>
            <w:r w:rsidRPr="00596ADB">
              <w:rPr>
                <w:rFonts w:ascii="Calibri" w:hAnsi="Calibri"/>
                <w:sz w:val="22"/>
                <w:szCs w:val="22"/>
              </w:rPr>
              <w:t>Papua New Guinea</w:t>
            </w:r>
            <w:r w:rsidR="00596ADB" w:rsidRPr="00596ADB">
              <w:rPr>
                <w:rFonts w:ascii="Calibri" w:hAnsi="Calibri"/>
                <w:sz w:val="22"/>
                <w:szCs w:val="22"/>
              </w:rPr>
              <w:t xml:space="preserve"> </w:t>
            </w:r>
            <w:r w:rsidR="00482983">
              <w:rPr>
                <w:rFonts w:ascii="Calibri" w:hAnsi="Calibri"/>
                <w:sz w:val="22"/>
                <w:szCs w:val="22"/>
              </w:rPr>
              <w:t>p</w:t>
            </w:r>
            <w:r w:rsidR="00596ADB" w:rsidRPr="00596ADB">
              <w:rPr>
                <w:rFonts w:ascii="Calibri" w:hAnsi="Calibri"/>
                <w:sz w:val="22"/>
                <w:szCs w:val="22"/>
              </w:rPr>
              <w:t xml:space="preserve">alm </w:t>
            </w:r>
            <w:r w:rsidR="00482983">
              <w:rPr>
                <w:rFonts w:ascii="Calibri" w:hAnsi="Calibri"/>
                <w:sz w:val="22"/>
                <w:szCs w:val="22"/>
              </w:rPr>
              <w:t>o</w:t>
            </w:r>
            <w:r w:rsidR="00596ADB" w:rsidRPr="00596ADB">
              <w:rPr>
                <w:rFonts w:ascii="Calibri" w:hAnsi="Calibri"/>
                <w:sz w:val="22"/>
                <w:szCs w:val="22"/>
              </w:rPr>
              <w:t>il</w:t>
            </w:r>
            <w:r w:rsidR="00482983">
              <w:rPr>
                <w:rFonts w:ascii="Calibri" w:hAnsi="Calibri"/>
                <w:sz w:val="22"/>
                <w:szCs w:val="22"/>
              </w:rPr>
              <w:t>;</w:t>
            </w:r>
            <w:r w:rsidRPr="00596ADB">
              <w:rPr>
                <w:rFonts w:ascii="Calibri" w:hAnsi="Calibri"/>
                <w:sz w:val="22"/>
                <w:szCs w:val="22"/>
              </w:rPr>
              <w:t xml:space="preserve"> Dominican Republic </w:t>
            </w:r>
            <w:r w:rsidR="00482983">
              <w:rPr>
                <w:rFonts w:ascii="Calibri" w:hAnsi="Calibri"/>
                <w:sz w:val="22"/>
                <w:szCs w:val="22"/>
              </w:rPr>
              <w:t>c</w:t>
            </w:r>
            <w:r w:rsidRPr="00596ADB">
              <w:rPr>
                <w:rFonts w:ascii="Calibri" w:hAnsi="Calibri"/>
                <w:sz w:val="22"/>
                <w:szCs w:val="22"/>
              </w:rPr>
              <w:t>ocoa</w:t>
            </w:r>
            <w:r w:rsidR="00482983">
              <w:rPr>
                <w:rFonts w:ascii="Calibri" w:hAnsi="Calibri"/>
                <w:sz w:val="22"/>
                <w:szCs w:val="22"/>
              </w:rPr>
              <w:t>;</w:t>
            </w:r>
            <w:r w:rsidR="00596ADB" w:rsidRPr="00596ADB">
              <w:rPr>
                <w:rFonts w:ascii="Calibri" w:hAnsi="Calibri"/>
                <w:sz w:val="22"/>
                <w:szCs w:val="22"/>
              </w:rPr>
              <w:t xml:space="preserve"> Ghana </w:t>
            </w:r>
            <w:r w:rsidR="00482983">
              <w:rPr>
                <w:rFonts w:ascii="Calibri" w:hAnsi="Calibri"/>
                <w:sz w:val="22"/>
                <w:szCs w:val="22"/>
              </w:rPr>
              <w:t>c</w:t>
            </w:r>
            <w:r w:rsidRPr="00596ADB">
              <w:rPr>
                <w:rFonts w:ascii="Calibri" w:hAnsi="Calibri"/>
                <w:sz w:val="22"/>
                <w:szCs w:val="22"/>
              </w:rPr>
              <w:t>ocoa</w:t>
            </w:r>
            <w:r w:rsidR="00482983">
              <w:rPr>
                <w:rFonts w:ascii="Calibri" w:hAnsi="Calibri"/>
                <w:sz w:val="22"/>
                <w:szCs w:val="22"/>
              </w:rPr>
              <w:t xml:space="preserve">; Peru palm and coffee; Côte d’Ivoire palm oil; and Mongolia cashmere. </w:t>
            </w:r>
          </w:p>
          <w:p w14:paraId="08135D72" w14:textId="5BFD4C6D" w:rsidR="0004182D" w:rsidRPr="00A75B28" w:rsidRDefault="00A75B28" w:rsidP="0004182D">
            <w:pPr>
              <w:pStyle w:val="ListParagraph"/>
              <w:numPr>
                <w:ilvl w:val="0"/>
                <w:numId w:val="32"/>
              </w:numPr>
              <w:spacing w:before="60"/>
              <w:rPr>
                <w:rFonts w:ascii="Calibri" w:hAnsi="Calibri"/>
                <w:sz w:val="22"/>
                <w:szCs w:val="22"/>
              </w:rPr>
            </w:pPr>
            <w:r>
              <w:rPr>
                <w:rFonts w:ascii="Calibri" w:hAnsi="Calibri"/>
                <w:sz w:val="22"/>
                <w:szCs w:val="22"/>
              </w:rPr>
              <w:t xml:space="preserve">GCP supported the launch of the Peru Coffee National Action Plan, the Costa Rica Fisheries National Action Plan, and platforms in Indonesia and Liberia. </w:t>
            </w:r>
          </w:p>
          <w:p w14:paraId="3474499E" w14:textId="51D8E45A" w:rsidR="00596ADB" w:rsidRPr="004D2D91" w:rsidRDefault="00596ADB" w:rsidP="00DA4F9F">
            <w:pPr>
              <w:pStyle w:val="ListParagraph"/>
              <w:numPr>
                <w:ilvl w:val="0"/>
                <w:numId w:val="6"/>
              </w:numPr>
              <w:spacing w:before="60"/>
              <w:rPr>
                <w:rFonts w:ascii="Calibri" w:hAnsi="Calibri"/>
                <w:i/>
                <w:sz w:val="22"/>
                <w:szCs w:val="22"/>
              </w:rPr>
            </w:pPr>
            <w:r w:rsidRPr="004D2D91">
              <w:rPr>
                <w:rFonts w:ascii="Calibri" w:hAnsi="Calibri"/>
                <w:i/>
                <w:sz w:val="22"/>
                <w:szCs w:val="22"/>
              </w:rPr>
              <w:t>Community of Practice</w:t>
            </w:r>
            <w:r w:rsidR="004D2D91" w:rsidRPr="004D2D91">
              <w:rPr>
                <w:rFonts w:ascii="Calibri" w:hAnsi="Calibri"/>
                <w:i/>
                <w:sz w:val="22"/>
                <w:szCs w:val="22"/>
              </w:rPr>
              <w:t>:</w:t>
            </w:r>
          </w:p>
          <w:p w14:paraId="42ADCC8B" w14:textId="1F69E1B1" w:rsidR="00F12AD1" w:rsidRDefault="00F12AD1" w:rsidP="00F12AD1">
            <w:pPr>
              <w:pStyle w:val="ListParagraph"/>
              <w:numPr>
                <w:ilvl w:val="0"/>
                <w:numId w:val="33"/>
              </w:numPr>
              <w:spacing w:before="60"/>
              <w:rPr>
                <w:rFonts w:ascii="Calibri" w:hAnsi="Calibri"/>
                <w:sz w:val="22"/>
                <w:szCs w:val="22"/>
              </w:rPr>
            </w:pPr>
            <w:r w:rsidRPr="00F12AD1">
              <w:rPr>
                <w:rFonts w:ascii="Calibri" w:hAnsi="Calibri"/>
                <w:sz w:val="22"/>
                <w:szCs w:val="22"/>
              </w:rPr>
              <w:t>More than 80 guidance documents available for the National Platform Community of Practice via a free and public Google Drive. Most documents are available both in English and Spanish.</w:t>
            </w:r>
          </w:p>
          <w:p w14:paraId="61B40B7A" w14:textId="7139CC38" w:rsidR="005E4874" w:rsidRDefault="005E4874" w:rsidP="005E4874">
            <w:pPr>
              <w:pStyle w:val="ListParagraph"/>
              <w:numPr>
                <w:ilvl w:val="0"/>
                <w:numId w:val="33"/>
              </w:numPr>
              <w:spacing w:before="60"/>
              <w:rPr>
                <w:rFonts w:ascii="Calibri" w:hAnsi="Calibri"/>
                <w:sz w:val="22"/>
                <w:szCs w:val="22"/>
              </w:rPr>
            </w:pPr>
            <w:r w:rsidRPr="005E4874">
              <w:rPr>
                <w:rFonts w:ascii="Calibri" w:hAnsi="Calibri"/>
                <w:sz w:val="22"/>
                <w:szCs w:val="22"/>
              </w:rPr>
              <w:t>GCP community of practice, the Green Commodities Community (GCC) relaunched</w:t>
            </w:r>
            <w:r>
              <w:rPr>
                <w:rFonts w:ascii="Calibri" w:hAnsi="Calibri"/>
                <w:sz w:val="22"/>
                <w:szCs w:val="22"/>
              </w:rPr>
              <w:t xml:space="preserve"> in Q1, held 23 virtual workshops across 11 </w:t>
            </w:r>
            <w:r w:rsidRPr="005E4874">
              <w:rPr>
                <w:rFonts w:ascii="Calibri" w:hAnsi="Calibri"/>
                <w:sz w:val="22"/>
                <w:szCs w:val="22"/>
              </w:rPr>
              <w:t>thematic and knowledge streams</w:t>
            </w:r>
            <w:r>
              <w:rPr>
                <w:rFonts w:ascii="Calibri" w:hAnsi="Calibri"/>
                <w:sz w:val="22"/>
                <w:szCs w:val="22"/>
              </w:rPr>
              <w:t xml:space="preserve">, and reached </w:t>
            </w:r>
            <w:r w:rsidRPr="005E4874">
              <w:rPr>
                <w:rFonts w:ascii="Calibri" w:hAnsi="Calibri"/>
                <w:sz w:val="22"/>
                <w:szCs w:val="22"/>
              </w:rPr>
              <w:t>170 participants</w:t>
            </w:r>
            <w:r>
              <w:rPr>
                <w:rFonts w:ascii="Calibri" w:hAnsi="Calibri"/>
                <w:sz w:val="22"/>
                <w:szCs w:val="22"/>
              </w:rPr>
              <w:t xml:space="preserve">. </w:t>
            </w:r>
            <w:r w:rsidR="0013014E" w:rsidRPr="0013014E">
              <w:rPr>
                <w:rFonts w:ascii="Calibri" w:hAnsi="Calibri"/>
                <w:sz w:val="22"/>
                <w:szCs w:val="22"/>
              </w:rPr>
              <w:t>Gender was the third largest knowledge stream, with 42 registered participants (32% of all members).</w:t>
            </w:r>
          </w:p>
          <w:p w14:paraId="77671651" w14:textId="418A6D29" w:rsidR="005E4874" w:rsidRDefault="005E4874" w:rsidP="005E4874">
            <w:pPr>
              <w:pStyle w:val="ListParagraph"/>
              <w:numPr>
                <w:ilvl w:val="0"/>
                <w:numId w:val="33"/>
              </w:numPr>
              <w:spacing w:before="60"/>
              <w:rPr>
                <w:rFonts w:ascii="Calibri" w:hAnsi="Calibri"/>
                <w:sz w:val="22"/>
                <w:szCs w:val="22"/>
              </w:rPr>
            </w:pPr>
            <w:r>
              <w:rPr>
                <w:rFonts w:ascii="Calibri" w:hAnsi="Calibri"/>
                <w:sz w:val="22"/>
                <w:szCs w:val="22"/>
              </w:rPr>
              <w:t xml:space="preserve">Preparations made for the </w:t>
            </w:r>
            <w:r w:rsidR="00CB0AF3">
              <w:rPr>
                <w:rFonts w:ascii="Calibri" w:hAnsi="Calibri"/>
                <w:sz w:val="22"/>
                <w:szCs w:val="22"/>
              </w:rPr>
              <w:t xml:space="preserve">2019 </w:t>
            </w:r>
            <w:r w:rsidR="00CB0AF3" w:rsidRPr="005E4874">
              <w:rPr>
                <w:rFonts w:ascii="Calibri" w:hAnsi="Calibri"/>
                <w:sz w:val="22"/>
                <w:szCs w:val="22"/>
              </w:rPr>
              <w:t>GCC’s Good Growth Conference</w:t>
            </w:r>
            <w:r w:rsidR="00CB0AF3">
              <w:rPr>
                <w:rFonts w:ascii="Calibri" w:hAnsi="Calibri"/>
                <w:sz w:val="22"/>
                <w:szCs w:val="22"/>
              </w:rPr>
              <w:t xml:space="preserve"> in Peru, including location and date confirmation, field visits, Peru coordination team assembly, sending save-the-dates, conference website design and launch, and draft agenda. </w:t>
            </w:r>
          </w:p>
          <w:p w14:paraId="1BDBFDBE" w14:textId="08BD201F" w:rsidR="00F12AD1" w:rsidRPr="004D2D91" w:rsidRDefault="00F12AD1" w:rsidP="00E63423">
            <w:pPr>
              <w:pStyle w:val="ListParagraph"/>
              <w:numPr>
                <w:ilvl w:val="0"/>
                <w:numId w:val="6"/>
              </w:numPr>
              <w:spacing w:before="60"/>
              <w:rPr>
                <w:rFonts w:ascii="Calibri" w:hAnsi="Calibri"/>
                <w:i/>
                <w:sz w:val="22"/>
                <w:szCs w:val="22"/>
              </w:rPr>
            </w:pPr>
            <w:r w:rsidRPr="004D2D91">
              <w:rPr>
                <w:rFonts w:ascii="Calibri" w:hAnsi="Calibri"/>
                <w:i/>
                <w:sz w:val="22"/>
                <w:szCs w:val="22"/>
              </w:rPr>
              <w:t>Engagement with private sector</w:t>
            </w:r>
            <w:r w:rsidR="004D2D91">
              <w:rPr>
                <w:rFonts w:ascii="Calibri" w:hAnsi="Calibri"/>
                <w:i/>
                <w:sz w:val="22"/>
                <w:szCs w:val="22"/>
              </w:rPr>
              <w:t>:</w:t>
            </w:r>
          </w:p>
          <w:p w14:paraId="3F13DE76" w14:textId="3EF0D078" w:rsidR="00DA4F9F" w:rsidRDefault="00DA4F9F" w:rsidP="00F12AD1">
            <w:pPr>
              <w:pStyle w:val="ListParagraph"/>
              <w:numPr>
                <w:ilvl w:val="0"/>
                <w:numId w:val="33"/>
              </w:numPr>
              <w:spacing w:before="60"/>
              <w:rPr>
                <w:rFonts w:ascii="Calibri" w:hAnsi="Calibri"/>
                <w:sz w:val="22"/>
                <w:szCs w:val="22"/>
              </w:rPr>
            </w:pPr>
            <w:r w:rsidRPr="00F12AD1">
              <w:rPr>
                <w:rFonts w:ascii="Calibri" w:hAnsi="Calibri"/>
                <w:sz w:val="22"/>
                <w:szCs w:val="22"/>
              </w:rPr>
              <w:t xml:space="preserve">GCP strengthened its existing </w:t>
            </w:r>
            <w:r w:rsidR="00B75DB4">
              <w:rPr>
                <w:rFonts w:ascii="Calibri" w:hAnsi="Calibri"/>
                <w:sz w:val="22"/>
                <w:szCs w:val="22"/>
              </w:rPr>
              <w:t>relationships</w:t>
            </w:r>
            <w:r w:rsidRPr="00F12AD1">
              <w:rPr>
                <w:rFonts w:ascii="Calibri" w:hAnsi="Calibri"/>
                <w:sz w:val="22"/>
                <w:szCs w:val="22"/>
              </w:rPr>
              <w:t xml:space="preserve"> with </w:t>
            </w:r>
            <w:r w:rsidR="00B75DB4">
              <w:rPr>
                <w:rFonts w:ascii="Calibri" w:hAnsi="Calibri"/>
                <w:sz w:val="22"/>
                <w:szCs w:val="22"/>
              </w:rPr>
              <w:t xml:space="preserve">Cargill, IKEA, Mars, Mondelez, Tesco, and Unilever, and </w:t>
            </w:r>
            <w:r w:rsidRPr="00F12AD1">
              <w:rPr>
                <w:rFonts w:ascii="Calibri" w:hAnsi="Calibri"/>
                <w:sz w:val="22"/>
                <w:szCs w:val="22"/>
              </w:rPr>
              <w:t xml:space="preserve">continued to </w:t>
            </w:r>
            <w:r w:rsidR="00B75DB4">
              <w:rPr>
                <w:rFonts w:ascii="Calibri" w:hAnsi="Calibri"/>
                <w:sz w:val="22"/>
                <w:szCs w:val="22"/>
              </w:rPr>
              <w:t>strengthen newer</w:t>
            </w:r>
            <w:r w:rsidRPr="00F12AD1">
              <w:rPr>
                <w:rFonts w:ascii="Calibri" w:hAnsi="Calibri"/>
                <w:sz w:val="22"/>
                <w:szCs w:val="22"/>
              </w:rPr>
              <w:t xml:space="preserve"> relationships with </w:t>
            </w:r>
            <w:r w:rsidR="00B75DB4">
              <w:rPr>
                <w:rFonts w:ascii="Calibri" w:hAnsi="Calibri"/>
                <w:sz w:val="22"/>
                <w:szCs w:val="22"/>
              </w:rPr>
              <w:t>McDonalds,</w:t>
            </w:r>
            <w:r w:rsidRPr="00F12AD1">
              <w:rPr>
                <w:rFonts w:ascii="Calibri" w:hAnsi="Calibri"/>
                <w:sz w:val="22"/>
                <w:szCs w:val="22"/>
              </w:rPr>
              <w:t xml:space="preserve"> Olam</w:t>
            </w:r>
            <w:r w:rsidR="00B75DB4">
              <w:rPr>
                <w:rFonts w:ascii="Calibri" w:hAnsi="Calibri"/>
                <w:sz w:val="22"/>
                <w:szCs w:val="22"/>
              </w:rPr>
              <w:t>, and PepsiCo</w:t>
            </w:r>
            <w:r w:rsidR="00F12AD1">
              <w:rPr>
                <w:rFonts w:ascii="Calibri" w:hAnsi="Calibri"/>
                <w:sz w:val="22"/>
                <w:szCs w:val="22"/>
              </w:rPr>
              <w:t xml:space="preserve">. </w:t>
            </w:r>
            <w:r w:rsidR="00B75DB4">
              <w:rPr>
                <w:rFonts w:ascii="Calibri" w:hAnsi="Calibri"/>
                <w:sz w:val="22"/>
                <w:szCs w:val="22"/>
              </w:rPr>
              <w:t xml:space="preserve">New relationship was established with </w:t>
            </w:r>
            <w:proofErr w:type="spellStart"/>
            <w:r w:rsidR="00B75DB4">
              <w:rPr>
                <w:rFonts w:ascii="Calibri" w:hAnsi="Calibri"/>
                <w:sz w:val="22"/>
                <w:szCs w:val="22"/>
              </w:rPr>
              <w:t>Kering</w:t>
            </w:r>
            <w:proofErr w:type="spellEnd"/>
            <w:r w:rsidR="00B75DB4">
              <w:rPr>
                <w:rFonts w:ascii="Calibri" w:hAnsi="Calibri"/>
                <w:sz w:val="22"/>
                <w:szCs w:val="22"/>
              </w:rPr>
              <w:t xml:space="preserve">. </w:t>
            </w:r>
          </w:p>
          <w:p w14:paraId="77861B46" w14:textId="103A434F" w:rsidR="00F12AD1" w:rsidRDefault="00B75DB4" w:rsidP="00F12AD1">
            <w:pPr>
              <w:pStyle w:val="ListParagraph"/>
              <w:numPr>
                <w:ilvl w:val="0"/>
                <w:numId w:val="33"/>
              </w:numPr>
              <w:spacing w:before="60"/>
              <w:rPr>
                <w:rFonts w:ascii="Calibri" w:hAnsi="Calibri"/>
                <w:sz w:val="22"/>
                <w:szCs w:val="22"/>
              </w:rPr>
            </w:pPr>
            <w:r>
              <w:rPr>
                <w:rFonts w:ascii="Calibri" w:hAnsi="Calibri"/>
                <w:sz w:val="22"/>
                <w:szCs w:val="22"/>
              </w:rPr>
              <w:lastRenderedPageBreak/>
              <w:t xml:space="preserve">GCP strengthened its profile and private sector relationships through the launch of the Value Beyond Value Chain private sector initiative with a Q2 workshop and through a GGP private sector roundtable in Q4, both attended by major international companies. </w:t>
            </w:r>
          </w:p>
          <w:p w14:paraId="526A165B" w14:textId="0B114B74" w:rsidR="00DA4F9F" w:rsidRPr="004D2D91" w:rsidRDefault="004D2D91" w:rsidP="004D2D91">
            <w:pPr>
              <w:pStyle w:val="ListParagraph"/>
              <w:numPr>
                <w:ilvl w:val="0"/>
                <w:numId w:val="6"/>
              </w:numPr>
              <w:spacing w:before="60"/>
              <w:rPr>
                <w:rFonts w:ascii="Calibri" w:hAnsi="Calibri"/>
                <w:i/>
                <w:sz w:val="22"/>
                <w:szCs w:val="22"/>
              </w:rPr>
            </w:pPr>
            <w:r w:rsidRPr="004D2D91">
              <w:rPr>
                <w:rFonts w:ascii="Calibri" w:hAnsi="Calibri"/>
                <w:i/>
                <w:sz w:val="22"/>
                <w:szCs w:val="22"/>
              </w:rPr>
              <w:t xml:space="preserve">Global debate and policy: </w:t>
            </w:r>
          </w:p>
          <w:p w14:paraId="497F2175" w14:textId="77777777" w:rsidR="00A75B28" w:rsidRPr="00B75DB4" w:rsidRDefault="00A75B28" w:rsidP="00B75DB4">
            <w:pPr>
              <w:pStyle w:val="ListParagraph"/>
              <w:numPr>
                <w:ilvl w:val="0"/>
                <w:numId w:val="33"/>
              </w:numPr>
              <w:spacing w:before="60"/>
              <w:rPr>
                <w:rFonts w:ascii="Calibri" w:hAnsi="Calibri"/>
                <w:sz w:val="22"/>
                <w:szCs w:val="22"/>
              </w:rPr>
            </w:pPr>
            <w:r w:rsidRPr="00B75DB4">
              <w:rPr>
                <w:rFonts w:ascii="Calibri" w:hAnsi="Calibri"/>
                <w:sz w:val="22"/>
                <w:szCs w:val="22"/>
              </w:rPr>
              <w:t>GCP participated in the World Cocoa Conference in Germany, International Conference on Oil Palm and the Environment in Bali, TFA2020 General Assembly in Ghana, 16th Annual Roundtable Conference on Sustainable Palm Oil in France, Amsterdam Declaration Partnership Multi-Stakeholder Meeting in France, Innovation Forum – “How business can make smallholder supply chains resilient” in the UK, Global Roundtable for Sustainable Beef in Ireland, Regional Sustainable Beef Workshop in Paraguay.</w:t>
            </w:r>
          </w:p>
          <w:p w14:paraId="2D335CDF" w14:textId="77777777" w:rsidR="00A75B28" w:rsidRPr="00B75DB4" w:rsidRDefault="00A75B28" w:rsidP="00B75DB4">
            <w:pPr>
              <w:pStyle w:val="ListParagraph"/>
              <w:numPr>
                <w:ilvl w:val="0"/>
                <w:numId w:val="33"/>
              </w:numPr>
              <w:spacing w:before="60"/>
              <w:rPr>
                <w:rFonts w:ascii="Calibri" w:hAnsi="Calibri"/>
                <w:sz w:val="22"/>
                <w:szCs w:val="22"/>
              </w:rPr>
            </w:pPr>
            <w:r w:rsidRPr="00B75DB4">
              <w:rPr>
                <w:rFonts w:ascii="Calibri" w:hAnsi="Calibri"/>
                <w:sz w:val="22"/>
                <w:szCs w:val="22"/>
              </w:rPr>
              <w:t xml:space="preserve">GCP established a Forest Coordination group in February comprised of Natural Capital, EBD, REDD+, and NYDF for a better GCP integration in a new vision for nature-based solutions within the UNDP Strategic Plan. </w:t>
            </w:r>
          </w:p>
          <w:p w14:paraId="623D4FCD" w14:textId="77777777" w:rsidR="00A75B28" w:rsidRDefault="00A75B28" w:rsidP="00A75B28">
            <w:pPr>
              <w:pStyle w:val="ListParagraph"/>
              <w:numPr>
                <w:ilvl w:val="0"/>
                <w:numId w:val="33"/>
              </w:numPr>
              <w:spacing w:before="60"/>
              <w:rPr>
                <w:rFonts w:ascii="Calibri" w:hAnsi="Calibri"/>
                <w:sz w:val="22"/>
                <w:szCs w:val="22"/>
              </w:rPr>
            </w:pPr>
            <w:r w:rsidRPr="00B75DB4">
              <w:rPr>
                <w:rFonts w:ascii="Calibri" w:hAnsi="Calibri"/>
                <w:sz w:val="22"/>
                <w:szCs w:val="22"/>
              </w:rPr>
              <w:t xml:space="preserve">GCP chaired a meeting between the Indonesia goverment and the Amsterdam Declaration Partnership on sustainable palm oil in December in Brussels. </w:t>
            </w:r>
          </w:p>
          <w:p w14:paraId="2E91ABF5" w14:textId="22B704BB" w:rsidR="00B75DB4" w:rsidRPr="00B75DB4" w:rsidRDefault="00B75DB4" w:rsidP="00B75DB4">
            <w:pPr>
              <w:pStyle w:val="ListParagraph"/>
              <w:spacing w:before="60"/>
              <w:ind w:left="1080"/>
              <w:rPr>
                <w:rFonts w:ascii="Calibri" w:hAnsi="Calibri"/>
                <w:sz w:val="22"/>
                <w:szCs w:val="22"/>
              </w:rPr>
            </w:pPr>
          </w:p>
        </w:tc>
      </w:tr>
    </w:tbl>
    <w:p w14:paraId="2E91ABF7" w14:textId="77777777" w:rsidR="00DF4746" w:rsidRDefault="00DF4746" w:rsidP="00F97642">
      <w:pPr>
        <w:tabs>
          <w:tab w:val="left" w:pos="4680"/>
        </w:tabs>
        <w:rPr>
          <w:rFonts w:ascii="Myriad Pro" w:hAnsi="Myriad Pro"/>
          <w:sz w:val="16"/>
          <w:szCs w:val="16"/>
          <w:shd w:val="clear" w:color="auto" w:fill="E0E0E0"/>
        </w:rPr>
      </w:pPr>
    </w:p>
    <w:p w14:paraId="2E91ABF8" w14:textId="77777777" w:rsidR="0079076A" w:rsidRDefault="0079076A" w:rsidP="00F97642">
      <w:pPr>
        <w:tabs>
          <w:tab w:val="left" w:pos="4680"/>
        </w:tabs>
        <w:rPr>
          <w:rFonts w:ascii="Myriad Pro" w:hAnsi="Myriad Pro"/>
          <w:sz w:val="16"/>
          <w:szCs w:val="16"/>
          <w:shd w:val="clear" w:color="auto" w:fill="E0E0E0"/>
        </w:rPr>
      </w:pPr>
    </w:p>
    <w:p w14:paraId="2E91ABF9" w14:textId="77777777" w:rsidR="0079076A" w:rsidRDefault="0079076A" w:rsidP="00CE6BAC">
      <w:pPr>
        <w:pStyle w:val="ListParagraph"/>
        <w:numPr>
          <w:ilvl w:val="0"/>
          <w:numId w:val="18"/>
        </w:numPr>
        <w:tabs>
          <w:tab w:val="left" w:pos="4680"/>
        </w:tabs>
        <w:rPr>
          <w:rFonts w:ascii="Calibri" w:hAnsi="Calibri" w:cs="Calibri"/>
          <w:b/>
          <w:bCs/>
          <w:szCs w:val="22"/>
        </w:rPr>
      </w:pPr>
      <w:r w:rsidRPr="0079076A">
        <w:rPr>
          <w:rFonts w:ascii="Calibri" w:hAnsi="Calibri" w:cs="Calibri"/>
          <w:b/>
          <w:bCs/>
          <w:szCs w:val="22"/>
        </w:rPr>
        <w:t>PROJECT PERFORMANCE</w:t>
      </w:r>
    </w:p>
    <w:p w14:paraId="2E91ABFA" w14:textId="77777777" w:rsidR="00A338F7" w:rsidRPr="0079076A" w:rsidRDefault="00A338F7" w:rsidP="00A338F7">
      <w:pPr>
        <w:pStyle w:val="ListParagraph"/>
        <w:tabs>
          <w:tab w:val="left" w:pos="4680"/>
        </w:tabs>
        <w:ind w:left="1080"/>
        <w:rPr>
          <w:rFonts w:ascii="Calibri" w:hAnsi="Calibri" w:cs="Calibri"/>
          <w:b/>
          <w:bCs/>
          <w:szCs w:val="22"/>
        </w:rPr>
      </w:pPr>
    </w:p>
    <w:p w14:paraId="2E91ABFB" w14:textId="3B1EE26B" w:rsidR="0079076A" w:rsidRPr="0079076A" w:rsidRDefault="0079076A" w:rsidP="008F2280">
      <w:pPr>
        <w:tabs>
          <w:tab w:val="left" w:pos="4680"/>
        </w:tabs>
        <w:outlineLvl w:val="0"/>
        <w:rPr>
          <w:rFonts w:ascii="Calibri" w:hAnsi="Calibri" w:cs="Calibri"/>
          <w:bCs/>
          <w:szCs w:val="22"/>
          <w:lang w:val="en-US"/>
        </w:rPr>
      </w:pPr>
      <w:r w:rsidRPr="0079076A">
        <w:rPr>
          <w:rFonts w:ascii="Calibri" w:hAnsi="Calibri" w:cs="Calibri"/>
          <w:bCs/>
          <w:szCs w:val="22"/>
          <w:lang w:val="en-US"/>
        </w:rPr>
        <w:t xml:space="preserve">Indicate the progress in the </w:t>
      </w:r>
      <w:r w:rsidR="00725C6B">
        <w:rPr>
          <w:rFonts w:ascii="Calibri" w:hAnsi="Calibri" w:cs="Calibri"/>
          <w:bCs/>
          <w:szCs w:val="22"/>
          <w:lang w:val="en-US"/>
        </w:rPr>
        <w:t xml:space="preserve">products and </w:t>
      </w:r>
      <w:r w:rsidRPr="0079076A">
        <w:rPr>
          <w:rFonts w:ascii="Calibri" w:hAnsi="Calibri" w:cs="Calibri"/>
          <w:bCs/>
          <w:szCs w:val="22"/>
          <w:lang w:val="en-US"/>
        </w:rPr>
        <w:t xml:space="preserve">activities programmed for </w:t>
      </w:r>
      <w:r w:rsidR="00725C6B">
        <w:rPr>
          <w:rFonts w:ascii="Calibri" w:hAnsi="Calibri" w:cs="Calibri"/>
          <w:bCs/>
          <w:szCs w:val="22"/>
          <w:lang w:val="en-US"/>
        </w:rPr>
        <w:t>the year</w:t>
      </w:r>
    </w:p>
    <w:tbl>
      <w:tblPr>
        <w:tblStyle w:val="TableGrid"/>
        <w:tblW w:w="9742" w:type="dxa"/>
        <w:tblLook w:val="01E0" w:firstRow="1" w:lastRow="1" w:firstColumn="1" w:lastColumn="1" w:noHBand="0" w:noVBand="0"/>
      </w:tblPr>
      <w:tblGrid>
        <w:gridCol w:w="1947"/>
        <w:gridCol w:w="1948"/>
        <w:gridCol w:w="1053"/>
        <w:gridCol w:w="896"/>
        <w:gridCol w:w="1949"/>
        <w:gridCol w:w="1949"/>
      </w:tblGrid>
      <w:tr w:rsidR="00725C6B" w:rsidRPr="00C5101B" w14:paraId="3B55D7AD" w14:textId="77777777" w:rsidTr="00E63423">
        <w:tc>
          <w:tcPr>
            <w:tcW w:w="1947" w:type="dxa"/>
            <w:tcBorders>
              <w:top w:val="single" w:sz="12" w:space="0" w:color="auto"/>
              <w:left w:val="single" w:sz="12" w:space="0" w:color="auto"/>
            </w:tcBorders>
            <w:shd w:val="clear" w:color="auto" w:fill="C0C0C0"/>
            <w:vAlign w:val="center"/>
          </w:tcPr>
          <w:p w14:paraId="35F20EC4" w14:textId="300846C3"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Product</w:t>
            </w:r>
            <w:r w:rsidRPr="00C5101B">
              <w:rPr>
                <w:rFonts w:ascii="Myriad Pro" w:hAnsi="Myriad Pro"/>
                <w:b/>
                <w:sz w:val="18"/>
                <w:szCs w:val="18"/>
                <w:shd w:val="clear" w:color="auto" w:fill="E0E0E0"/>
                <w:lang w:val="es-PA"/>
              </w:rPr>
              <w:t xml:space="preserve"> 1</w:t>
            </w:r>
          </w:p>
        </w:tc>
        <w:tc>
          <w:tcPr>
            <w:tcW w:w="7795" w:type="dxa"/>
            <w:gridSpan w:val="5"/>
            <w:tcBorders>
              <w:top w:val="single" w:sz="12" w:space="0" w:color="auto"/>
              <w:right w:val="single" w:sz="12" w:space="0" w:color="auto"/>
            </w:tcBorders>
            <w:vAlign w:val="center"/>
          </w:tcPr>
          <w:p w14:paraId="222D34F8" w14:textId="0D331277" w:rsidR="00725C6B" w:rsidRPr="00562605" w:rsidRDefault="00BE3E55" w:rsidP="00725C6B">
            <w:pPr>
              <w:tabs>
                <w:tab w:val="left" w:pos="4680"/>
              </w:tabs>
              <w:jc w:val="center"/>
              <w:rPr>
                <w:rFonts w:ascii="Myriad Pro" w:hAnsi="Myriad Pro"/>
                <w:sz w:val="20"/>
                <w:szCs w:val="18"/>
                <w:shd w:val="clear" w:color="auto" w:fill="E0E0E0"/>
                <w:lang w:val="en-US"/>
              </w:rPr>
            </w:pPr>
            <w:r w:rsidRPr="00562605">
              <w:rPr>
                <w:rFonts w:ascii="Myriad Pro" w:hAnsi="Myriad Pro"/>
                <w:sz w:val="20"/>
                <w:szCs w:val="16"/>
                <w:shd w:val="clear" w:color="auto" w:fill="E0E0E0"/>
                <w:lang w:val="en-US"/>
              </w:rPr>
              <w:t>Global Strategy, Partnerships, and Knowledge Management</w:t>
            </w:r>
          </w:p>
        </w:tc>
      </w:tr>
      <w:tr w:rsidR="00725C6B" w:rsidRPr="00C5101B" w14:paraId="2E5A7F45" w14:textId="77777777" w:rsidTr="00E63423">
        <w:tc>
          <w:tcPr>
            <w:tcW w:w="1947" w:type="dxa"/>
            <w:tcBorders>
              <w:left w:val="single" w:sz="12" w:space="0" w:color="auto"/>
            </w:tcBorders>
            <w:shd w:val="clear" w:color="auto" w:fill="C0C0C0"/>
            <w:vAlign w:val="center"/>
          </w:tcPr>
          <w:p w14:paraId="673FC98F" w14:textId="77777777" w:rsidR="00725C6B" w:rsidRPr="00C5101B" w:rsidRDefault="00725C6B"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Project ID</w:t>
            </w:r>
          </w:p>
        </w:tc>
        <w:tc>
          <w:tcPr>
            <w:tcW w:w="7795" w:type="dxa"/>
            <w:gridSpan w:val="5"/>
            <w:tcBorders>
              <w:right w:val="single" w:sz="12" w:space="0" w:color="auto"/>
            </w:tcBorders>
            <w:vAlign w:val="center"/>
          </w:tcPr>
          <w:p w14:paraId="15245841" w14:textId="7C914322" w:rsidR="00725C6B" w:rsidRPr="000616C1" w:rsidRDefault="008F2280" w:rsidP="00725C6B">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79521</w:t>
            </w:r>
            <w:r w:rsidR="0013510F">
              <w:rPr>
                <w:rFonts w:ascii="Myriad Pro" w:hAnsi="Myriad Pro"/>
                <w:sz w:val="20"/>
                <w:szCs w:val="16"/>
                <w:shd w:val="clear" w:color="auto" w:fill="E0E0E0"/>
                <w:lang w:val="es-PA"/>
              </w:rPr>
              <w:t xml:space="preserve"> (Output 89497)</w:t>
            </w:r>
          </w:p>
        </w:tc>
      </w:tr>
      <w:tr w:rsidR="00725C6B" w:rsidRPr="00C5101B" w14:paraId="623CFD11" w14:textId="77777777" w:rsidTr="00E63423">
        <w:tc>
          <w:tcPr>
            <w:tcW w:w="1947" w:type="dxa"/>
            <w:tcBorders>
              <w:left w:val="single" w:sz="12" w:space="0" w:color="auto"/>
            </w:tcBorders>
            <w:shd w:val="clear" w:color="auto" w:fill="C0C0C0"/>
            <w:vAlign w:val="center"/>
          </w:tcPr>
          <w:p w14:paraId="60D142BF" w14:textId="559E6217"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Indicator(s)</w:t>
            </w:r>
          </w:p>
        </w:tc>
        <w:tc>
          <w:tcPr>
            <w:tcW w:w="7795" w:type="dxa"/>
            <w:gridSpan w:val="5"/>
            <w:tcBorders>
              <w:right w:val="single" w:sz="12" w:space="0" w:color="auto"/>
            </w:tcBorders>
            <w:vAlign w:val="center"/>
          </w:tcPr>
          <w:p w14:paraId="5FA02DCE" w14:textId="5D4CFBCE" w:rsidR="008F2280" w:rsidRPr="00562605" w:rsidRDefault="008F2280" w:rsidP="008F2280">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1. GCP Strategy allows GCP to be well positioned globally, operate effectively at country level and grow its portfolio.</w:t>
            </w:r>
            <w:r w:rsidR="00890F5B" w:rsidRPr="00562605">
              <w:rPr>
                <w:rFonts w:ascii="Myriad Pro" w:hAnsi="Myriad Pro"/>
                <w:sz w:val="20"/>
                <w:szCs w:val="16"/>
                <w:shd w:val="clear" w:color="auto" w:fill="E0E0E0"/>
                <w:lang w:val="en-US"/>
              </w:rPr>
              <w:t xml:space="preserve"> </w:t>
            </w:r>
          </w:p>
          <w:p w14:paraId="6254947F" w14:textId="600411CC" w:rsidR="008F2280" w:rsidRPr="00562605" w:rsidRDefault="008F2280" w:rsidP="008F2280">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2. Number of companies, donors and NGOs partnering with GCP.</w:t>
            </w:r>
          </w:p>
          <w:p w14:paraId="56FA7A91" w14:textId="0146750B" w:rsidR="00725C6B" w:rsidRPr="00562605" w:rsidRDefault="008F2280" w:rsidP="008F2280">
            <w:pPr>
              <w:tabs>
                <w:tab w:val="left" w:pos="4680"/>
              </w:tabs>
              <w:jc w:val="left"/>
              <w:rPr>
                <w:rFonts w:ascii="Myriad Pro" w:hAnsi="Myriad Pro"/>
                <w:sz w:val="20"/>
                <w:szCs w:val="18"/>
                <w:shd w:val="clear" w:color="auto" w:fill="E0E0E0"/>
                <w:lang w:val="en-US"/>
              </w:rPr>
            </w:pPr>
            <w:r w:rsidRPr="00562605">
              <w:rPr>
                <w:rFonts w:ascii="Myriad Pro" w:hAnsi="Myriad Pro"/>
                <w:sz w:val="20"/>
                <w:szCs w:val="16"/>
                <w:shd w:val="clear" w:color="auto" w:fill="E0E0E0"/>
                <w:lang w:val="en-US"/>
              </w:rPr>
              <w:t>3. KM system operational and of value to COs and project teams.</w:t>
            </w:r>
          </w:p>
        </w:tc>
      </w:tr>
      <w:tr w:rsidR="00725C6B" w:rsidRPr="00C5101B" w14:paraId="64FB2936" w14:textId="77777777" w:rsidTr="00E63423">
        <w:tc>
          <w:tcPr>
            <w:tcW w:w="1947" w:type="dxa"/>
            <w:tcBorders>
              <w:left w:val="single" w:sz="12" w:space="0" w:color="auto"/>
            </w:tcBorders>
            <w:shd w:val="clear" w:color="auto" w:fill="C0C0C0"/>
            <w:vAlign w:val="center"/>
          </w:tcPr>
          <w:p w14:paraId="58C560B2" w14:textId="3FBEC247"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Base Line (s)</w:t>
            </w:r>
          </w:p>
        </w:tc>
        <w:tc>
          <w:tcPr>
            <w:tcW w:w="7795" w:type="dxa"/>
            <w:gridSpan w:val="5"/>
            <w:tcBorders>
              <w:right w:val="single" w:sz="12" w:space="0" w:color="auto"/>
            </w:tcBorders>
            <w:vAlign w:val="center"/>
          </w:tcPr>
          <w:p w14:paraId="228D6405" w14:textId="01F8A6E6" w:rsidR="008F2280" w:rsidRPr="00562605" w:rsidRDefault="008F2280" w:rsidP="008F2280">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1. Global strategy was developed in 2010 and needs updating to take account of growth of GCP.</w:t>
            </w:r>
          </w:p>
          <w:p w14:paraId="2542CF03" w14:textId="0704E68A" w:rsidR="008F2280" w:rsidRPr="00562605" w:rsidRDefault="008F2280" w:rsidP="008F2280">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2. Partnerships are healthy with global initiatives, governments, NGOs and companies but are in need of strengthening to be more effective.</w:t>
            </w:r>
          </w:p>
          <w:p w14:paraId="271B7F9B" w14:textId="64810005" w:rsidR="00725C6B" w:rsidRPr="000616C1" w:rsidRDefault="008F2280" w:rsidP="008F2280">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Knowledge management is limited.</w:t>
            </w:r>
          </w:p>
        </w:tc>
      </w:tr>
      <w:tr w:rsidR="00725C6B" w:rsidRPr="00C5101B" w14:paraId="690AB9A0" w14:textId="77777777" w:rsidTr="00E63423">
        <w:tc>
          <w:tcPr>
            <w:tcW w:w="1947" w:type="dxa"/>
            <w:tcBorders>
              <w:left w:val="single" w:sz="12" w:space="0" w:color="auto"/>
              <w:bottom w:val="single" w:sz="12" w:space="0" w:color="auto"/>
            </w:tcBorders>
            <w:shd w:val="clear" w:color="auto" w:fill="C0C0C0"/>
            <w:vAlign w:val="center"/>
          </w:tcPr>
          <w:p w14:paraId="1268D689" w14:textId="1501E4FE"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7795" w:type="dxa"/>
            <w:gridSpan w:val="5"/>
            <w:tcBorders>
              <w:bottom w:val="single" w:sz="12" w:space="0" w:color="auto"/>
              <w:right w:val="single" w:sz="12" w:space="0" w:color="auto"/>
            </w:tcBorders>
            <w:vAlign w:val="center"/>
          </w:tcPr>
          <w:p w14:paraId="156A4622" w14:textId="0F9ADCAD" w:rsidR="00725C6B" w:rsidRPr="00562605" w:rsidRDefault="00471898" w:rsidP="00471898">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1. Global GCP has been updated to reflect growth of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and team, and to position GCP well for the coming years.</w:t>
            </w:r>
            <w:r w:rsidR="00F7790D" w:rsidRPr="00562605">
              <w:rPr>
                <w:rFonts w:ascii="Myriad Pro" w:hAnsi="Myriad Pro"/>
                <w:sz w:val="20"/>
                <w:szCs w:val="16"/>
                <w:shd w:val="clear" w:color="auto" w:fill="E0E0E0"/>
                <w:lang w:val="en-US"/>
              </w:rPr>
              <w:t xml:space="preserve"> At least $1m </w:t>
            </w:r>
            <w:r w:rsidR="000E5B39" w:rsidRPr="00562605">
              <w:rPr>
                <w:rFonts w:ascii="Myriad Pro" w:hAnsi="Myriad Pro"/>
                <w:sz w:val="20"/>
                <w:szCs w:val="16"/>
                <w:shd w:val="clear" w:color="auto" w:fill="E0E0E0"/>
                <w:lang w:val="en-US"/>
              </w:rPr>
              <w:t xml:space="preserve">has been secured for GCP operations. </w:t>
            </w:r>
            <w:r w:rsidRPr="00562605">
              <w:rPr>
                <w:rFonts w:ascii="Myriad Pro" w:hAnsi="Myriad Pro"/>
                <w:sz w:val="20"/>
                <w:szCs w:val="16"/>
                <w:shd w:val="clear" w:color="auto" w:fill="E0E0E0"/>
                <w:lang w:val="en-US"/>
              </w:rPr>
              <w:t xml:space="preserve"> </w:t>
            </w:r>
          </w:p>
          <w:p w14:paraId="7C3C5104" w14:textId="69E48ED8" w:rsidR="00471898" w:rsidRPr="000616C1" w:rsidRDefault="00471898" w:rsidP="00471898">
            <w:pPr>
              <w:tabs>
                <w:tab w:val="left" w:pos="4680"/>
              </w:tabs>
              <w:jc w:val="left"/>
              <w:rPr>
                <w:rFonts w:ascii="Myriad Pro" w:hAnsi="Myriad Pro"/>
                <w:sz w:val="20"/>
                <w:szCs w:val="16"/>
                <w:shd w:val="clear" w:color="auto" w:fill="E0E0E0"/>
                <w:lang w:val="es-PA"/>
              </w:rPr>
            </w:pPr>
            <w:r w:rsidRPr="00562605">
              <w:rPr>
                <w:rFonts w:ascii="Myriad Pro" w:hAnsi="Myriad Pro"/>
                <w:sz w:val="20"/>
                <w:szCs w:val="16"/>
                <w:shd w:val="clear" w:color="auto" w:fill="E0E0E0"/>
                <w:lang w:val="en-US"/>
              </w:rPr>
              <w:t xml:space="preserve">2. Existing partnerships with companies, donors, and NGOs are maintained and strengthened, and new partnerships are pursued and developed. </w:t>
            </w:r>
            <w:r w:rsidR="000E5B39">
              <w:rPr>
                <w:rFonts w:ascii="Myriad Pro" w:hAnsi="Myriad Pro"/>
                <w:sz w:val="20"/>
                <w:szCs w:val="16"/>
                <w:shd w:val="clear" w:color="auto" w:fill="E0E0E0"/>
                <w:lang w:val="es-PA"/>
              </w:rPr>
              <w:t xml:space="preserve">At least 5 more companies are partnering with the programme. </w:t>
            </w:r>
          </w:p>
          <w:p w14:paraId="5AFAF80C" w14:textId="57F9A3EB" w:rsidR="00471898" w:rsidRPr="000616C1" w:rsidRDefault="00471898" w:rsidP="00471898">
            <w:pPr>
              <w:tabs>
                <w:tab w:val="left" w:pos="4680"/>
              </w:tabs>
              <w:jc w:val="left"/>
              <w:rPr>
                <w:rFonts w:ascii="Myriad Pro" w:hAnsi="Myriad Pro"/>
                <w:sz w:val="20"/>
                <w:szCs w:val="18"/>
                <w:shd w:val="clear" w:color="auto" w:fill="E0E0E0"/>
                <w:lang w:val="es-PA"/>
              </w:rPr>
            </w:pPr>
            <w:r w:rsidRPr="00562605">
              <w:rPr>
                <w:rFonts w:ascii="Myriad Pro" w:hAnsi="Myriad Pro"/>
                <w:sz w:val="20"/>
                <w:szCs w:val="16"/>
                <w:shd w:val="clear" w:color="auto" w:fill="E0E0E0"/>
                <w:lang w:val="en-US"/>
              </w:rPr>
              <w:t xml:space="preserve">3. Knowledge </w:t>
            </w:r>
            <w:proofErr w:type="spellStart"/>
            <w:r w:rsidRPr="00562605">
              <w:rPr>
                <w:rFonts w:ascii="Myriad Pro" w:hAnsi="Myriad Pro"/>
                <w:sz w:val="20"/>
                <w:szCs w:val="16"/>
                <w:shd w:val="clear" w:color="auto" w:fill="E0E0E0"/>
                <w:lang w:val="en-US"/>
              </w:rPr>
              <w:t>managment</w:t>
            </w:r>
            <w:proofErr w:type="spellEnd"/>
            <w:r w:rsidRPr="00562605">
              <w:rPr>
                <w:rFonts w:ascii="Myriad Pro" w:hAnsi="Myriad Pro"/>
                <w:sz w:val="20"/>
                <w:szCs w:val="16"/>
                <w:shd w:val="clear" w:color="auto" w:fill="E0E0E0"/>
                <w:lang w:val="en-US"/>
              </w:rPr>
              <w:t xml:space="preserve"> and learning are a core part of GCP’s operations</w:t>
            </w:r>
            <w:r w:rsidR="005E75B0" w:rsidRPr="00562605">
              <w:rPr>
                <w:rFonts w:ascii="Myriad Pro" w:hAnsi="Myriad Pro"/>
                <w:sz w:val="20"/>
                <w:szCs w:val="16"/>
                <w:shd w:val="clear" w:color="auto" w:fill="E0E0E0"/>
                <w:lang w:val="en-US"/>
              </w:rPr>
              <w:t>.</w:t>
            </w:r>
            <w:r w:rsidR="000E5B39" w:rsidRPr="00562605">
              <w:rPr>
                <w:rFonts w:ascii="Myriad Pro" w:hAnsi="Myriad Pro"/>
                <w:sz w:val="20"/>
                <w:szCs w:val="16"/>
                <w:shd w:val="clear" w:color="auto" w:fill="E0E0E0"/>
                <w:lang w:val="en-US"/>
              </w:rPr>
              <w:t xml:space="preserve"> </w:t>
            </w:r>
            <w:r w:rsidR="000E5B39">
              <w:rPr>
                <w:rFonts w:ascii="Myriad Pro" w:hAnsi="Myriad Pro"/>
                <w:sz w:val="20"/>
                <w:szCs w:val="16"/>
                <w:shd w:val="clear" w:color="auto" w:fill="E0E0E0"/>
                <w:lang w:val="es-PA"/>
              </w:rPr>
              <w:t xml:space="preserve">At least 120 people participate in the community of practice. </w:t>
            </w:r>
          </w:p>
        </w:tc>
      </w:tr>
      <w:tr w:rsidR="00725C6B" w:rsidRPr="00C5101B" w14:paraId="79478CEC" w14:textId="77777777" w:rsidTr="00AE6360">
        <w:trPr>
          <w:trHeight w:val="395"/>
        </w:trPr>
        <w:tc>
          <w:tcPr>
            <w:tcW w:w="1947" w:type="dxa"/>
            <w:tcBorders>
              <w:top w:val="single" w:sz="12" w:space="0" w:color="auto"/>
              <w:left w:val="single" w:sz="12" w:space="0" w:color="auto"/>
            </w:tcBorders>
            <w:shd w:val="clear" w:color="auto" w:fill="C0C0C0"/>
            <w:vAlign w:val="center"/>
          </w:tcPr>
          <w:p w14:paraId="5B802416" w14:textId="30FCF1A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1.1</w:t>
            </w:r>
          </w:p>
        </w:tc>
        <w:tc>
          <w:tcPr>
            <w:tcW w:w="3001" w:type="dxa"/>
            <w:gridSpan w:val="2"/>
            <w:tcBorders>
              <w:top w:val="single" w:sz="12" w:space="0" w:color="auto"/>
            </w:tcBorders>
            <w:shd w:val="clear" w:color="auto" w:fill="C0C0C0"/>
            <w:vAlign w:val="center"/>
          </w:tcPr>
          <w:p w14:paraId="5DF54E96" w14:textId="6734AEE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6D4AE3B" w14:textId="5990EE18"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482CC9D3" w14:textId="33F3A754"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3EED495E" w14:textId="77777777" w:rsidTr="00AE6360">
        <w:tc>
          <w:tcPr>
            <w:tcW w:w="1947" w:type="dxa"/>
            <w:tcBorders>
              <w:left w:val="single" w:sz="12" w:space="0" w:color="auto"/>
            </w:tcBorders>
            <w:vAlign w:val="center"/>
          </w:tcPr>
          <w:p w14:paraId="48F641CE" w14:textId="1D62399D" w:rsidR="00725C6B" w:rsidRPr="000616C1" w:rsidRDefault="008F2280" w:rsidP="00E63423">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Review Strategy/Update</w:t>
            </w:r>
          </w:p>
        </w:tc>
        <w:tc>
          <w:tcPr>
            <w:tcW w:w="3001" w:type="dxa"/>
            <w:gridSpan w:val="2"/>
            <w:vAlign w:val="center"/>
          </w:tcPr>
          <w:p w14:paraId="7340429E" w14:textId="1F124777" w:rsidR="000616C1" w:rsidRPr="00562605" w:rsidRDefault="000616C1" w:rsidP="000616C1">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Update GCP Strategy</w:t>
            </w:r>
            <w:r w:rsidR="000E5B39" w:rsidRPr="00562605">
              <w:rPr>
                <w:rFonts w:ascii="Myriad Pro" w:hAnsi="Myriad Pro"/>
                <w:sz w:val="20"/>
                <w:szCs w:val="16"/>
                <w:shd w:val="clear" w:color="auto" w:fill="E0E0E0"/>
                <w:lang w:val="en-US"/>
              </w:rPr>
              <w:t xml:space="preserve"> </w:t>
            </w:r>
          </w:p>
          <w:p w14:paraId="03489B3E" w14:textId="071D04C8" w:rsidR="000616C1" w:rsidRPr="00562605" w:rsidRDefault="000616C1" w:rsidP="000616C1">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 </w:t>
            </w:r>
            <w:r w:rsidR="000E5B39" w:rsidRPr="00562605">
              <w:rPr>
                <w:rFonts w:ascii="Myriad Pro" w:hAnsi="Myriad Pro"/>
                <w:sz w:val="20"/>
                <w:szCs w:val="16"/>
                <w:shd w:val="clear" w:color="auto" w:fill="E0E0E0"/>
                <w:lang w:val="en-US"/>
              </w:rPr>
              <w:t>Effectively implement</w:t>
            </w:r>
            <w:r w:rsidRPr="00562605">
              <w:rPr>
                <w:rFonts w:ascii="Myriad Pro" w:hAnsi="Myriad Pro"/>
                <w:sz w:val="20"/>
                <w:szCs w:val="16"/>
                <w:shd w:val="clear" w:color="auto" w:fill="E0E0E0"/>
                <w:lang w:val="en-US"/>
              </w:rPr>
              <w:t xml:space="preserve"> GCP management committee</w:t>
            </w:r>
          </w:p>
          <w:p w14:paraId="1378461C" w14:textId="1B87C139" w:rsidR="000616C1" w:rsidRPr="00562605" w:rsidRDefault="000616C1" w:rsidP="000616C1">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 </w:t>
            </w:r>
            <w:r w:rsidR="001E580D" w:rsidRPr="00562605">
              <w:rPr>
                <w:rFonts w:ascii="Myriad Pro" w:hAnsi="Myriad Pro"/>
                <w:sz w:val="20"/>
                <w:szCs w:val="16"/>
                <w:shd w:val="clear" w:color="auto" w:fill="E0E0E0"/>
                <w:lang w:val="en-US"/>
              </w:rPr>
              <w:t>Finalize and implement GCP Communications Strategy</w:t>
            </w:r>
          </w:p>
          <w:p w14:paraId="08265693" w14:textId="01727B88" w:rsidR="000616C1" w:rsidRPr="00562605" w:rsidRDefault="000616C1" w:rsidP="000616C1">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 </w:t>
            </w:r>
            <w:r w:rsidR="000E5B39" w:rsidRPr="00562605">
              <w:rPr>
                <w:rFonts w:ascii="Myriad Pro" w:hAnsi="Myriad Pro"/>
                <w:sz w:val="20"/>
                <w:szCs w:val="16"/>
                <w:shd w:val="clear" w:color="auto" w:fill="E0E0E0"/>
                <w:lang w:val="en-US"/>
              </w:rPr>
              <w:t xml:space="preserve">Develop GCP </w:t>
            </w:r>
            <w:r w:rsidRPr="00562605">
              <w:rPr>
                <w:rFonts w:ascii="Myriad Pro" w:hAnsi="Myriad Pro"/>
                <w:sz w:val="20"/>
                <w:szCs w:val="16"/>
                <w:shd w:val="clear" w:color="auto" w:fill="E0E0E0"/>
                <w:lang w:val="en-US"/>
              </w:rPr>
              <w:t xml:space="preserve">M&amp;E </w:t>
            </w:r>
            <w:r w:rsidR="000E5B39" w:rsidRPr="00562605">
              <w:rPr>
                <w:rFonts w:ascii="Myriad Pro" w:hAnsi="Myriad Pro"/>
                <w:sz w:val="20"/>
                <w:szCs w:val="16"/>
                <w:shd w:val="clear" w:color="auto" w:fill="E0E0E0"/>
                <w:lang w:val="en-US"/>
              </w:rPr>
              <w:t>system</w:t>
            </w:r>
          </w:p>
          <w:p w14:paraId="2A475048" w14:textId="11AEB87B" w:rsidR="00725C6B" w:rsidRPr="00562605" w:rsidRDefault="000616C1" w:rsidP="00BE3E55">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Align strategy and work planning processes</w:t>
            </w:r>
          </w:p>
        </w:tc>
        <w:tc>
          <w:tcPr>
            <w:tcW w:w="2845" w:type="dxa"/>
            <w:gridSpan w:val="2"/>
            <w:vAlign w:val="center"/>
          </w:tcPr>
          <w:p w14:paraId="0CDFA8D6" w14:textId="28D5C032" w:rsidR="00725C6B" w:rsidRPr="00562605" w:rsidRDefault="00BE3E55" w:rsidP="00977A07">
            <w:pPr>
              <w:tabs>
                <w:tab w:val="left" w:pos="4680"/>
              </w:tabs>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This project is an umbrella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for several child projects, so there is no </w:t>
            </w:r>
            <w:proofErr w:type="spellStart"/>
            <w:r w:rsidRPr="00562605">
              <w:rPr>
                <w:rFonts w:ascii="Myriad Pro" w:hAnsi="Myriad Pro"/>
                <w:sz w:val="20"/>
                <w:szCs w:val="16"/>
                <w:shd w:val="clear" w:color="auto" w:fill="E0E0E0"/>
                <w:lang w:val="en-US"/>
              </w:rPr>
              <w:t>ProDoc</w:t>
            </w:r>
            <w:proofErr w:type="spellEnd"/>
            <w:r w:rsidRPr="00562605">
              <w:rPr>
                <w:rFonts w:ascii="Myriad Pro" w:hAnsi="Myriad Pro"/>
                <w:sz w:val="20"/>
                <w:szCs w:val="16"/>
                <w:shd w:val="clear" w:color="auto" w:fill="E0E0E0"/>
                <w:lang w:val="en-US"/>
              </w:rPr>
              <w:t xml:space="preserve"> nor specific indicators to measure progress against. </w:t>
            </w:r>
            <w:r w:rsidR="00977A07" w:rsidRPr="00562605">
              <w:rPr>
                <w:rFonts w:ascii="Myriad Pro" w:hAnsi="Myriad Pro"/>
                <w:sz w:val="20"/>
                <w:szCs w:val="16"/>
                <w:shd w:val="clear" w:color="auto" w:fill="E0E0E0"/>
                <w:lang w:val="en-US"/>
              </w:rPr>
              <w:t xml:space="preserve">Activity results for 2017 are described in the comments section below. </w:t>
            </w:r>
          </w:p>
        </w:tc>
        <w:tc>
          <w:tcPr>
            <w:tcW w:w="1949" w:type="dxa"/>
            <w:tcBorders>
              <w:right w:val="single" w:sz="12" w:space="0" w:color="auto"/>
            </w:tcBorders>
            <w:vAlign w:val="center"/>
          </w:tcPr>
          <w:p w14:paraId="7B5CC293" w14:textId="415AADB0" w:rsidR="00725C6B" w:rsidRPr="000E5B39" w:rsidRDefault="00725C6B" w:rsidP="00E63423">
            <w:pPr>
              <w:tabs>
                <w:tab w:val="left" w:pos="4680"/>
              </w:tabs>
              <w:jc w:val="center"/>
              <w:rPr>
                <w:rFonts w:ascii="Myriad Pro" w:hAnsi="Myriad Pro"/>
                <w:sz w:val="18"/>
                <w:szCs w:val="18"/>
                <w:shd w:val="clear" w:color="auto" w:fill="E0E0E0"/>
                <w:lang w:val="es-PA"/>
              </w:rPr>
            </w:pPr>
            <w:r w:rsidRPr="000E5B39">
              <w:rPr>
                <w:rFonts w:ascii="Myriad Pro" w:hAnsi="Myriad Pro"/>
                <w:sz w:val="18"/>
                <w:szCs w:val="18"/>
                <w:shd w:val="clear" w:color="auto" w:fill="E0E0E0"/>
                <w:lang w:val="es-PA"/>
              </w:rPr>
              <w:t>Q1-Q4</w:t>
            </w:r>
          </w:p>
          <w:p w14:paraId="30A18162"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0E5B39">
              <w:rPr>
                <w:rFonts w:ascii="Myriad Pro" w:hAnsi="Myriad Pro"/>
                <w:sz w:val="18"/>
                <w:szCs w:val="18"/>
                <w:shd w:val="clear" w:color="auto" w:fill="E0E0E0"/>
                <w:lang w:val="es-PA"/>
              </w:rPr>
              <w:t>100</w:t>
            </w:r>
          </w:p>
        </w:tc>
      </w:tr>
      <w:tr w:rsidR="00725C6B" w:rsidRPr="00C5101B" w14:paraId="4451F522" w14:textId="77777777" w:rsidTr="00E63423">
        <w:tc>
          <w:tcPr>
            <w:tcW w:w="1947" w:type="dxa"/>
            <w:tcBorders>
              <w:left w:val="single" w:sz="12" w:space="0" w:color="auto"/>
              <w:bottom w:val="single" w:sz="12" w:space="0" w:color="auto"/>
            </w:tcBorders>
            <w:shd w:val="clear" w:color="auto" w:fill="C0C0C0"/>
            <w:vAlign w:val="center"/>
          </w:tcPr>
          <w:p w14:paraId="302480E7" w14:textId="413D97C3"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4279069F" w14:textId="6294E3B5" w:rsidR="00CD2BCB" w:rsidRPr="00562605" w:rsidRDefault="00BE3E55" w:rsidP="00BE3E55">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xml:space="preserve">- The GCP Strategy 2017-2020 was </w:t>
            </w:r>
            <w:r w:rsidR="00CD2BCB" w:rsidRPr="00562605">
              <w:rPr>
                <w:rFonts w:ascii="Myriad Pro" w:hAnsi="Myriad Pro"/>
                <w:sz w:val="20"/>
                <w:szCs w:val="16"/>
                <w:shd w:val="clear" w:color="auto" w:fill="E0E0E0"/>
              </w:rPr>
              <w:t>review</w:t>
            </w:r>
            <w:r w:rsidR="00C95A76">
              <w:rPr>
                <w:rFonts w:ascii="Myriad Pro" w:hAnsi="Myriad Pro"/>
                <w:sz w:val="20"/>
                <w:szCs w:val="16"/>
                <w:shd w:val="clear" w:color="auto" w:fill="E0E0E0"/>
              </w:rPr>
              <w:t>e</w:t>
            </w:r>
            <w:r w:rsidR="00CD2BCB" w:rsidRPr="00562605">
              <w:rPr>
                <w:rFonts w:ascii="Myriad Pro" w:hAnsi="Myriad Pro"/>
                <w:sz w:val="20"/>
                <w:szCs w:val="16"/>
                <w:shd w:val="clear" w:color="auto" w:fill="E0E0E0"/>
              </w:rPr>
              <w:t xml:space="preserve">d and </w:t>
            </w:r>
            <w:r w:rsidRPr="00562605">
              <w:rPr>
                <w:rFonts w:ascii="Myriad Pro" w:hAnsi="Myriad Pro"/>
                <w:sz w:val="20"/>
                <w:szCs w:val="16"/>
                <w:shd w:val="clear" w:color="auto" w:fill="E0E0E0"/>
              </w:rPr>
              <w:t>updated in Q</w:t>
            </w:r>
            <w:r w:rsidR="00CD2BCB" w:rsidRPr="00562605">
              <w:rPr>
                <w:rFonts w:ascii="Myriad Pro" w:hAnsi="Myriad Pro"/>
                <w:sz w:val="20"/>
                <w:szCs w:val="16"/>
                <w:shd w:val="clear" w:color="auto" w:fill="E0E0E0"/>
              </w:rPr>
              <w:t>2</w:t>
            </w:r>
            <w:r w:rsidRPr="00562605">
              <w:rPr>
                <w:rFonts w:ascii="Myriad Pro" w:hAnsi="Myriad Pro"/>
                <w:sz w:val="20"/>
                <w:szCs w:val="16"/>
                <w:shd w:val="clear" w:color="auto" w:fill="E0E0E0"/>
              </w:rPr>
              <w:t xml:space="preserve"> to further align the </w:t>
            </w:r>
            <w:r w:rsidR="00CD2BCB" w:rsidRPr="00562605">
              <w:rPr>
                <w:rFonts w:ascii="Myriad Pro" w:hAnsi="Myriad Pro"/>
                <w:sz w:val="20"/>
                <w:szCs w:val="16"/>
                <w:shd w:val="clear" w:color="auto" w:fill="E0E0E0"/>
              </w:rPr>
              <w:t>2019</w:t>
            </w:r>
            <w:r w:rsidRPr="00562605">
              <w:rPr>
                <w:rFonts w:ascii="Myriad Pro" w:hAnsi="Myriad Pro"/>
                <w:sz w:val="20"/>
                <w:szCs w:val="16"/>
                <w:shd w:val="clear" w:color="auto" w:fill="E0E0E0"/>
              </w:rPr>
              <w:t xml:space="preserve"> planning processes with the strategy and new project portfolio, imperatives and capacity of the GCP team. </w:t>
            </w:r>
            <w:r w:rsidR="00C95A76">
              <w:rPr>
                <w:rFonts w:ascii="Myriad Pro" w:hAnsi="Myriad Pro"/>
                <w:sz w:val="20"/>
                <w:szCs w:val="16"/>
                <w:shd w:val="clear" w:color="auto" w:fill="E0E0E0"/>
              </w:rPr>
              <w:t xml:space="preserve">One of the principles outlined in the strategy document is to promote gender balance, which is supported by the GCP global team’s own composition with 58% women.  </w:t>
            </w:r>
          </w:p>
          <w:p w14:paraId="459CD0EC" w14:textId="49CA55D2" w:rsidR="00CD2BCB" w:rsidRPr="00562605" w:rsidRDefault="00BE3E55" w:rsidP="00BE3E55">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lastRenderedPageBreak/>
              <w:t xml:space="preserve">- </w:t>
            </w:r>
            <w:r w:rsidR="000E5B39" w:rsidRPr="00562605">
              <w:rPr>
                <w:rFonts w:ascii="Myriad Pro" w:hAnsi="Myriad Pro"/>
                <w:sz w:val="20"/>
                <w:szCs w:val="16"/>
                <w:shd w:val="clear" w:color="auto" w:fill="E0E0E0"/>
              </w:rPr>
              <w:t>The</w:t>
            </w:r>
            <w:r w:rsidRPr="00562605">
              <w:rPr>
                <w:rFonts w:ascii="Myriad Pro" w:hAnsi="Myriad Pro"/>
                <w:sz w:val="20"/>
                <w:szCs w:val="16"/>
                <w:shd w:val="clear" w:color="auto" w:fill="E0E0E0"/>
              </w:rPr>
              <w:t xml:space="preserve"> GCP </w:t>
            </w:r>
            <w:r w:rsidR="00BB39F9" w:rsidRPr="00562605">
              <w:rPr>
                <w:rFonts w:ascii="Myriad Pro" w:hAnsi="Myriad Pro"/>
                <w:sz w:val="20"/>
                <w:szCs w:val="16"/>
                <w:shd w:val="clear" w:color="auto" w:fill="E0E0E0"/>
              </w:rPr>
              <w:t>M</w:t>
            </w:r>
            <w:r w:rsidRPr="00562605">
              <w:rPr>
                <w:rFonts w:ascii="Myriad Pro" w:hAnsi="Myriad Pro"/>
                <w:sz w:val="20"/>
                <w:szCs w:val="16"/>
                <w:shd w:val="clear" w:color="auto" w:fill="E0E0E0"/>
              </w:rPr>
              <w:t xml:space="preserve">anagement </w:t>
            </w:r>
            <w:r w:rsidR="00BB39F9" w:rsidRPr="00562605">
              <w:rPr>
                <w:rFonts w:ascii="Myriad Pro" w:hAnsi="Myriad Pro"/>
                <w:sz w:val="20"/>
                <w:szCs w:val="16"/>
                <w:shd w:val="clear" w:color="auto" w:fill="E0E0E0"/>
              </w:rPr>
              <w:t>Co</w:t>
            </w:r>
            <w:r w:rsidRPr="00562605">
              <w:rPr>
                <w:rFonts w:ascii="Myriad Pro" w:hAnsi="Myriad Pro"/>
                <w:sz w:val="20"/>
                <w:szCs w:val="16"/>
                <w:shd w:val="clear" w:color="auto" w:fill="E0E0E0"/>
              </w:rPr>
              <w:t xml:space="preserve">mmittee established in </w:t>
            </w:r>
            <w:r w:rsidR="000E5B39" w:rsidRPr="00562605">
              <w:rPr>
                <w:rFonts w:ascii="Myriad Pro" w:hAnsi="Myriad Pro"/>
                <w:sz w:val="20"/>
                <w:szCs w:val="16"/>
                <w:shd w:val="clear" w:color="auto" w:fill="E0E0E0"/>
              </w:rPr>
              <w:t>late 2017</w:t>
            </w:r>
            <w:r w:rsidRPr="00562605">
              <w:rPr>
                <w:rFonts w:ascii="Myriad Pro" w:hAnsi="Myriad Pro"/>
                <w:sz w:val="20"/>
                <w:szCs w:val="16"/>
                <w:shd w:val="clear" w:color="auto" w:fill="E0E0E0"/>
              </w:rPr>
              <w:t xml:space="preserve"> to support the increased project engagement and growth of the GCP team and its project portfolio</w:t>
            </w:r>
            <w:r w:rsidR="000E5B39" w:rsidRPr="00562605">
              <w:rPr>
                <w:rFonts w:ascii="Myriad Pro" w:hAnsi="Myriad Pro"/>
                <w:sz w:val="20"/>
                <w:szCs w:val="16"/>
                <w:shd w:val="clear" w:color="auto" w:fill="E0E0E0"/>
              </w:rPr>
              <w:t xml:space="preserve"> met throughout 2018</w:t>
            </w:r>
            <w:r w:rsidR="00CD2BCB" w:rsidRPr="00562605">
              <w:rPr>
                <w:rFonts w:ascii="Myriad Pro" w:hAnsi="Myriad Pro"/>
                <w:sz w:val="20"/>
                <w:szCs w:val="16"/>
                <w:shd w:val="clear" w:color="auto" w:fill="E0E0E0"/>
              </w:rPr>
              <w:t xml:space="preserve">, </w:t>
            </w:r>
            <w:r w:rsidR="00BB39F9" w:rsidRPr="00562605">
              <w:rPr>
                <w:rFonts w:ascii="Myriad Pro" w:hAnsi="Myriad Pro"/>
                <w:sz w:val="20"/>
                <w:szCs w:val="16"/>
                <w:shd w:val="clear" w:color="auto" w:fill="E0E0E0"/>
              </w:rPr>
              <w:t xml:space="preserve">reporting back to the team after each meeting and operating transparently. Progress towards team goals identified in the Q4 2017 team planning meeting was tracked throughout the year and discussed during monthly team calls. During the Q4 2018 team planning meeting the decision was made to evolve the Management Committee into a Strategic Committee to oversee the team management and development of strategies aligned with the GCP Strategy and Values, and to support the team to deliver the objectives for 2019. </w:t>
            </w:r>
          </w:p>
          <w:p w14:paraId="588EA1B3" w14:textId="4E7E4D28" w:rsidR="003A5620" w:rsidRPr="00562605" w:rsidRDefault="003A5620" w:rsidP="003A5620">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xml:space="preserve">- A comprehensive theory of change </w:t>
            </w:r>
            <w:r w:rsidR="00BB39F9" w:rsidRPr="00562605">
              <w:rPr>
                <w:rFonts w:ascii="Myriad Pro" w:hAnsi="Myriad Pro"/>
                <w:sz w:val="20"/>
                <w:szCs w:val="16"/>
                <w:shd w:val="clear" w:color="auto" w:fill="E0E0E0"/>
              </w:rPr>
              <w:t xml:space="preserve">showing the necessary outcomes to achieve sector-wide transformation for commodities </w:t>
            </w:r>
            <w:r w:rsidRPr="00562605">
              <w:rPr>
                <w:rFonts w:ascii="Myriad Pro" w:hAnsi="Myriad Pro"/>
                <w:sz w:val="20"/>
                <w:szCs w:val="16"/>
                <w:shd w:val="clear" w:color="auto" w:fill="E0E0E0"/>
              </w:rPr>
              <w:t xml:space="preserve">was </w:t>
            </w:r>
            <w:r w:rsidR="00BB39F9" w:rsidRPr="00562605">
              <w:rPr>
                <w:rFonts w:ascii="Myriad Pro" w:hAnsi="Myriad Pro"/>
                <w:sz w:val="20"/>
                <w:szCs w:val="16"/>
                <w:shd w:val="clear" w:color="auto" w:fill="E0E0E0"/>
              </w:rPr>
              <w:t xml:space="preserve">finalized in Q4 and launched for external consultation. </w:t>
            </w:r>
          </w:p>
          <w:p w14:paraId="4913A6D9" w14:textId="79034C4E" w:rsidR="000E5B39" w:rsidRPr="00562605" w:rsidRDefault="000E5B39" w:rsidP="00BE3E55">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xml:space="preserve">- </w:t>
            </w:r>
            <w:r w:rsidR="003A5620" w:rsidRPr="00562605">
              <w:rPr>
                <w:rFonts w:ascii="Myriad Pro" w:hAnsi="Myriad Pro"/>
                <w:sz w:val="20"/>
                <w:szCs w:val="16"/>
                <w:shd w:val="clear" w:color="auto" w:fill="E0E0E0"/>
              </w:rPr>
              <w:t xml:space="preserve">A M&amp;E system was designed for the GCP global </w:t>
            </w:r>
            <w:proofErr w:type="spellStart"/>
            <w:r w:rsidR="003A5620" w:rsidRPr="00562605">
              <w:rPr>
                <w:rFonts w:ascii="Myriad Pro" w:hAnsi="Myriad Pro"/>
                <w:sz w:val="20"/>
                <w:szCs w:val="16"/>
                <w:shd w:val="clear" w:color="auto" w:fill="E0E0E0"/>
              </w:rPr>
              <w:t>programme</w:t>
            </w:r>
            <w:proofErr w:type="spellEnd"/>
            <w:r w:rsidR="003A5620" w:rsidRPr="00562605">
              <w:rPr>
                <w:rFonts w:ascii="Myriad Pro" w:hAnsi="Myriad Pro"/>
                <w:sz w:val="20"/>
                <w:szCs w:val="16"/>
                <w:shd w:val="clear" w:color="auto" w:fill="E0E0E0"/>
              </w:rPr>
              <w:t xml:space="preserve">, building upon the approach and structure developed in 2017 and linked to the theory of change. New tools </w:t>
            </w:r>
            <w:r w:rsidR="00BB39F9" w:rsidRPr="00562605">
              <w:rPr>
                <w:rFonts w:ascii="Myriad Pro" w:hAnsi="Myriad Pro"/>
                <w:sz w:val="20"/>
                <w:szCs w:val="16"/>
                <w:shd w:val="clear" w:color="auto" w:fill="E0E0E0"/>
              </w:rPr>
              <w:t>were</w:t>
            </w:r>
            <w:r w:rsidR="003A5620" w:rsidRPr="00562605">
              <w:rPr>
                <w:rFonts w:ascii="Myriad Pro" w:hAnsi="Myriad Pro"/>
                <w:sz w:val="20"/>
                <w:szCs w:val="16"/>
                <w:shd w:val="clear" w:color="auto" w:fill="E0E0E0"/>
              </w:rPr>
              <w:t xml:space="preserve"> developed for capturing qualitative and quantitative results in the country commodity platforms, </w:t>
            </w:r>
            <w:r w:rsidR="00C95A76">
              <w:rPr>
                <w:rFonts w:ascii="Myriad Pro" w:hAnsi="Myriad Pro"/>
                <w:sz w:val="20"/>
                <w:szCs w:val="16"/>
                <w:shd w:val="clear" w:color="auto" w:fill="E0E0E0"/>
              </w:rPr>
              <w:t xml:space="preserve">including women’s participation and other gender indicators, </w:t>
            </w:r>
            <w:r w:rsidR="003A5620" w:rsidRPr="00562605">
              <w:rPr>
                <w:rFonts w:ascii="Myriad Pro" w:hAnsi="Myriad Pro"/>
                <w:sz w:val="20"/>
                <w:szCs w:val="16"/>
                <w:shd w:val="clear" w:color="auto" w:fill="E0E0E0"/>
              </w:rPr>
              <w:t xml:space="preserve">and new mechanisms </w:t>
            </w:r>
            <w:r w:rsidR="00BB39F9" w:rsidRPr="00562605">
              <w:rPr>
                <w:rFonts w:ascii="Myriad Pro" w:hAnsi="Myriad Pro"/>
                <w:sz w:val="20"/>
                <w:szCs w:val="16"/>
                <w:shd w:val="clear" w:color="auto" w:fill="E0E0E0"/>
              </w:rPr>
              <w:t>were</w:t>
            </w:r>
            <w:r w:rsidR="003A5620" w:rsidRPr="00562605">
              <w:rPr>
                <w:rFonts w:ascii="Myriad Pro" w:hAnsi="Myriad Pro"/>
                <w:sz w:val="20"/>
                <w:szCs w:val="16"/>
                <w:shd w:val="clear" w:color="auto" w:fill="E0E0E0"/>
              </w:rPr>
              <w:t xml:space="preserve"> put in place to capture lessons learned at the country and global levels. </w:t>
            </w:r>
          </w:p>
          <w:p w14:paraId="0371EB06" w14:textId="2B9ABF96" w:rsidR="00BE3E55" w:rsidRPr="00562605" w:rsidRDefault="00BE3E55" w:rsidP="00BE3E55">
            <w:pPr>
              <w:tabs>
                <w:tab w:val="left" w:pos="4680"/>
              </w:tabs>
              <w:rPr>
                <w:rFonts w:ascii="Myriad Pro" w:hAnsi="Myriad Pro"/>
                <w:sz w:val="16"/>
                <w:szCs w:val="16"/>
                <w:shd w:val="clear" w:color="auto" w:fill="E0E0E0"/>
                <w:lang w:val="en-US"/>
              </w:rPr>
            </w:pPr>
            <w:r w:rsidRPr="00562605">
              <w:rPr>
                <w:rFonts w:ascii="Myriad Pro" w:hAnsi="Myriad Pro"/>
                <w:sz w:val="20"/>
                <w:szCs w:val="16"/>
                <w:shd w:val="clear" w:color="auto" w:fill="E0E0E0"/>
                <w:lang w:val="en-US"/>
              </w:rPr>
              <w:t xml:space="preserve">- The GCP Communications </w:t>
            </w:r>
            <w:r w:rsidR="00BB39F9" w:rsidRPr="00562605">
              <w:rPr>
                <w:rFonts w:ascii="Myriad Pro" w:hAnsi="Myriad Pro"/>
                <w:sz w:val="20"/>
                <w:szCs w:val="16"/>
                <w:shd w:val="clear" w:color="auto" w:fill="E0E0E0"/>
                <w:lang w:val="en-US"/>
              </w:rPr>
              <w:t>Strategy and branding guidelines were finalized in Q1</w:t>
            </w:r>
            <w:r w:rsidR="001E580D" w:rsidRPr="00562605">
              <w:rPr>
                <w:rFonts w:ascii="Myriad Pro" w:hAnsi="Myriad Pro"/>
                <w:sz w:val="20"/>
                <w:szCs w:val="16"/>
                <w:shd w:val="clear" w:color="auto" w:fill="E0E0E0"/>
                <w:lang w:val="en-US"/>
              </w:rPr>
              <w:t xml:space="preserve"> and implemented throughout the year. The communications team was strengthened with the addition of a new Communications Lead and Communications Officer.  </w:t>
            </w:r>
          </w:p>
        </w:tc>
      </w:tr>
      <w:tr w:rsidR="00725C6B" w:rsidRPr="00C5101B" w14:paraId="2F443FEF" w14:textId="77777777" w:rsidTr="00AE6360">
        <w:tc>
          <w:tcPr>
            <w:tcW w:w="1947" w:type="dxa"/>
            <w:tcBorders>
              <w:top w:val="single" w:sz="12" w:space="0" w:color="auto"/>
              <w:left w:val="single" w:sz="12" w:space="0" w:color="auto"/>
            </w:tcBorders>
            <w:shd w:val="clear" w:color="auto" w:fill="C0C0C0"/>
            <w:vAlign w:val="center"/>
          </w:tcPr>
          <w:p w14:paraId="1735FCC9" w14:textId="0C429C86"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1.2</w:t>
            </w:r>
          </w:p>
        </w:tc>
        <w:tc>
          <w:tcPr>
            <w:tcW w:w="3001" w:type="dxa"/>
            <w:gridSpan w:val="2"/>
            <w:tcBorders>
              <w:top w:val="single" w:sz="12" w:space="0" w:color="auto"/>
            </w:tcBorders>
            <w:shd w:val="clear" w:color="auto" w:fill="C0C0C0"/>
            <w:vAlign w:val="center"/>
          </w:tcPr>
          <w:p w14:paraId="0D2F5FEC" w14:textId="49410AB5"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6D7F9D59" w14:textId="686D8CBB"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53C45D83" w14:textId="5EF4D026"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1D600DB9" w14:textId="77777777" w:rsidTr="00AE6360">
        <w:tc>
          <w:tcPr>
            <w:tcW w:w="1947" w:type="dxa"/>
            <w:tcBorders>
              <w:left w:val="single" w:sz="12" w:space="0" w:color="auto"/>
            </w:tcBorders>
            <w:vAlign w:val="center"/>
          </w:tcPr>
          <w:p w14:paraId="68558964" w14:textId="6EDDF82A" w:rsidR="00725C6B" w:rsidRPr="000616C1" w:rsidRDefault="00446B0C" w:rsidP="007F4FB4">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Guidance Documents/</w:t>
            </w:r>
            <w:r w:rsidR="007F4FB4" w:rsidRPr="000616C1">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Platforms</w:t>
            </w:r>
          </w:p>
        </w:tc>
        <w:tc>
          <w:tcPr>
            <w:tcW w:w="3001" w:type="dxa"/>
            <w:gridSpan w:val="2"/>
            <w:vAlign w:val="center"/>
          </w:tcPr>
          <w:p w14:paraId="7167A9EC" w14:textId="7B167605" w:rsidR="0013510F" w:rsidRPr="00562605" w:rsidRDefault="0013510F" w:rsidP="0013510F">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xml:space="preserve">- </w:t>
            </w:r>
            <w:r w:rsidR="00C51A9C" w:rsidRPr="00562605">
              <w:rPr>
                <w:rFonts w:ascii="Myriad Pro" w:hAnsi="Myriad Pro"/>
                <w:sz w:val="20"/>
                <w:szCs w:val="16"/>
                <w:shd w:val="clear" w:color="auto" w:fill="E0E0E0"/>
              </w:rPr>
              <w:t xml:space="preserve">Maintain and </w:t>
            </w:r>
            <w:r w:rsidRPr="00562605">
              <w:rPr>
                <w:rFonts w:ascii="Myriad Pro" w:hAnsi="Myriad Pro"/>
                <w:sz w:val="20"/>
                <w:szCs w:val="16"/>
                <w:shd w:val="clear" w:color="auto" w:fill="E0E0E0"/>
              </w:rPr>
              <w:t>lead a global working group on implementing and monitoring National Action Plans</w:t>
            </w:r>
          </w:p>
          <w:p w14:paraId="30EEB36E" w14:textId="733F83AA" w:rsidR="0013510F" w:rsidRPr="00562605" w:rsidRDefault="0013510F" w:rsidP="0013510F">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Develop guidance materials based on practitioners’ needs</w:t>
            </w:r>
          </w:p>
          <w:p w14:paraId="50663DA1" w14:textId="66AAFB01" w:rsidR="0013510F" w:rsidRPr="00562605" w:rsidRDefault="0013510F" w:rsidP="0013510F">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Provide regular support to Platform Teams as requested</w:t>
            </w:r>
          </w:p>
          <w:p w14:paraId="1FA813BD" w14:textId="77777777" w:rsidR="00725C6B" w:rsidRPr="00562605" w:rsidRDefault="0013510F" w:rsidP="00362CF8">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xml:space="preserve">- </w:t>
            </w:r>
            <w:r w:rsidR="00362CF8" w:rsidRPr="00562605">
              <w:rPr>
                <w:rFonts w:ascii="Myriad Pro" w:hAnsi="Myriad Pro"/>
                <w:sz w:val="20"/>
                <w:szCs w:val="16"/>
                <w:shd w:val="clear" w:color="auto" w:fill="E0E0E0"/>
              </w:rPr>
              <w:t>Support the launch of Peru Coffee NAP</w:t>
            </w:r>
          </w:p>
          <w:p w14:paraId="3484ABCD" w14:textId="0EB16760" w:rsidR="00362CF8" w:rsidRPr="00562605" w:rsidRDefault="00362CF8" w:rsidP="00362CF8">
            <w:pPr>
              <w:pStyle w:val="ListParagraph"/>
              <w:spacing w:before="60"/>
              <w:ind w:left="0"/>
              <w:rPr>
                <w:rFonts w:ascii="Myriad Pro" w:hAnsi="Myriad Pro"/>
                <w:sz w:val="20"/>
                <w:szCs w:val="16"/>
                <w:shd w:val="clear" w:color="auto" w:fill="E0E0E0"/>
              </w:rPr>
            </w:pPr>
            <w:r w:rsidRPr="00562605">
              <w:rPr>
                <w:rFonts w:ascii="Myriad Pro" w:hAnsi="Myriad Pro"/>
                <w:sz w:val="20"/>
                <w:szCs w:val="16"/>
                <w:shd w:val="clear" w:color="auto" w:fill="E0E0E0"/>
              </w:rPr>
              <w:t>- Support the launch of Indonesia sub-national platforms</w:t>
            </w:r>
          </w:p>
        </w:tc>
        <w:tc>
          <w:tcPr>
            <w:tcW w:w="2845" w:type="dxa"/>
            <w:gridSpan w:val="2"/>
            <w:vAlign w:val="center"/>
          </w:tcPr>
          <w:p w14:paraId="60BFB595" w14:textId="3FE32D96" w:rsidR="00725C6B" w:rsidRPr="00562605" w:rsidRDefault="0013510F" w:rsidP="006B2B5A">
            <w:pPr>
              <w:tabs>
                <w:tab w:val="left" w:pos="4680"/>
              </w:tabs>
              <w:jc w:val="left"/>
              <w:rPr>
                <w:rFonts w:ascii="Myriad Pro" w:hAnsi="Myriad Pro"/>
                <w:color w:val="FF0000"/>
                <w:sz w:val="20"/>
                <w:szCs w:val="18"/>
                <w:shd w:val="clear" w:color="auto" w:fill="E0E0E0"/>
                <w:lang w:val="en-US"/>
              </w:rPr>
            </w:pPr>
            <w:r w:rsidRPr="00562605">
              <w:rPr>
                <w:rFonts w:ascii="Myriad Pro" w:hAnsi="Myriad Pro"/>
                <w:sz w:val="20"/>
                <w:szCs w:val="16"/>
                <w:shd w:val="clear" w:color="auto" w:fill="E0E0E0"/>
                <w:lang w:val="en-US"/>
              </w:rPr>
              <w:t xml:space="preserve">This project is an umbrella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for several child projects, so there is no </w:t>
            </w:r>
            <w:proofErr w:type="spellStart"/>
            <w:r w:rsidRPr="00562605">
              <w:rPr>
                <w:rFonts w:ascii="Myriad Pro" w:hAnsi="Myriad Pro"/>
                <w:sz w:val="20"/>
                <w:szCs w:val="16"/>
                <w:shd w:val="clear" w:color="auto" w:fill="E0E0E0"/>
                <w:lang w:val="en-US"/>
              </w:rPr>
              <w:t>ProDoc</w:t>
            </w:r>
            <w:proofErr w:type="spellEnd"/>
            <w:r w:rsidRPr="00562605">
              <w:rPr>
                <w:rFonts w:ascii="Myriad Pro" w:hAnsi="Myriad Pro"/>
                <w:sz w:val="20"/>
                <w:szCs w:val="16"/>
                <w:shd w:val="clear" w:color="auto" w:fill="E0E0E0"/>
                <w:lang w:val="en-US"/>
              </w:rPr>
              <w:t xml:space="preserve"> nor specific indicators to measure progress against. Activity results for 2017 are described in the comments section below.</w:t>
            </w:r>
          </w:p>
        </w:tc>
        <w:tc>
          <w:tcPr>
            <w:tcW w:w="1949" w:type="dxa"/>
            <w:tcBorders>
              <w:right w:val="single" w:sz="12" w:space="0" w:color="auto"/>
            </w:tcBorders>
            <w:vAlign w:val="center"/>
          </w:tcPr>
          <w:p w14:paraId="35A5F45D" w14:textId="66248DCE" w:rsidR="00725C6B" w:rsidRPr="003A5620" w:rsidRDefault="00725C6B" w:rsidP="00E63423">
            <w:pPr>
              <w:tabs>
                <w:tab w:val="left" w:pos="4680"/>
              </w:tabs>
              <w:jc w:val="center"/>
              <w:rPr>
                <w:rFonts w:ascii="Myriad Pro" w:hAnsi="Myriad Pro"/>
                <w:sz w:val="18"/>
                <w:szCs w:val="18"/>
                <w:shd w:val="clear" w:color="auto" w:fill="E0E0E0"/>
                <w:lang w:val="es-PA"/>
              </w:rPr>
            </w:pPr>
            <w:r w:rsidRPr="003A5620">
              <w:rPr>
                <w:rFonts w:ascii="Myriad Pro" w:hAnsi="Myriad Pro"/>
                <w:sz w:val="18"/>
                <w:szCs w:val="18"/>
                <w:shd w:val="clear" w:color="auto" w:fill="E0E0E0"/>
                <w:lang w:val="es-PA"/>
              </w:rPr>
              <w:t>Q1-Q4</w:t>
            </w:r>
          </w:p>
          <w:p w14:paraId="3A9C6874"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3A5620">
              <w:rPr>
                <w:rFonts w:ascii="Myriad Pro" w:hAnsi="Myriad Pro"/>
                <w:sz w:val="18"/>
                <w:szCs w:val="18"/>
                <w:shd w:val="clear" w:color="auto" w:fill="E0E0E0"/>
                <w:lang w:val="es-PA"/>
              </w:rPr>
              <w:t>100</w:t>
            </w:r>
          </w:p>
        </w:tc>
      </w:tr>
      <w:tr w:rsidR="00725C6B" w:rsidRPr="00C5101B" w14:paraId="24CB21DD" w14:textId="77777777" w:rsidTr="00E63423">
        <w:tc>
          <w:tcPr>
            <w:tcW w:w="1947" w:type="dxa"/>
            <w:tcBorders>
              <w:left w:val="single" w:sz="12" w:space="0" w:color="auto"/>
              <w:bottom w:val="single" w:sz="12" w:space="0" w:color="auto"/>
            </w:tcBorders>
            <w:shd w:val="clear" w:color="auto" w:fill="C0C0C0"/>
            <w:vAlign w:val="center"/>
          </w:tcPr>
          <w:p w14:paraId="08FB350C" w14:textId="434A873E" w:rsidR="00725C6B" w:rsidRPr="003A2724" w:rsidRDefault="00725C6B" w:rsidP="00E63423">
            <w:pPr>
              <w:tabs>
                <w:tab w:val="left" w:pos="4680"/>
              </w:tabs>
              <w:jc w:val="center"/>
              <w:rPr>
                <w:rFonts w:ascii="Myriad Pro" w:hAnsi="Myriad Pro"/>
                <w:b/>
                <w:sz w:val="18"/>
                <w:szCs w:val="18"/>
                <w:shd w:val="clear" w:color="auto" w:fill="E0E0E0"/>
                <w:lang w:val="es-PA"/>
              </w:rPr>
            </w:pPr>
            <w:r w:rsidRPr="003A2724">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1278451C" w14:textId="6656BBF6" w:rsidR="006B2B5A" w:rsidRPr="00562605" w:rsidRDefault="006B2B5A" w:rsidP="006B2B5A">
            <w:pPr>
              <w:pStyle w:val="ListParagraph"/>
              <w:numPr>
                <w:ilvl w:val="0"/>
                <w:numId w:val="30"/>
              </w:numPr>
              <w:spacing w:before="60"/>
              <w:ind w:left="94" w:hanging="90"/>
              <w:rPr>
                <w:rFonts w:ascii="Myriad Pro" w:hAnsi="Myriad Pro"/>
                <w:sz w:val="20"/>
                <w:szCs w:val="16"/>
                <w:shd w:val="clear" w:color="auto" w:fill="E0E0E0"/>
              </w:rPr>
            </w:pPr>
            <w:r w:rsidRPr="00562605">
              <w:rPr>
                <w:rFonts w:ascii="Myriad Pro" w:hAnsi="Myriad Pro"/>
                <w:sz w:val="20"/>
                <w:szCs w:val="16"/>
                <w:shd w:val="clear" w:color="auto" w:fill="E0E0E0"/>
              </w:rPr>
              <w:t xml:space="preserve">Global working group </w:t>
            </w:r>
            <w:r w:rsidR="001B2442">
              <w:rPr>
                <w:rFonts w:ascii="Myriad Pro" w:hAnsi="Myriad Pro"/>
                <w:sz w:val="20"/>
                <w:szCs w:val="16"/>
                <w:shd w:val="clear" w:color="auto" w:fill="E0E0E0"/>
              </w:rPr>
              <w:t xml:space="preserve">of commodity platform coordinators, 50% of whom are women, </w:t>
            </w:r>
            <w:r w:rsidRPr="00562605">
              <w:rPr>
                <w:rFonts w:ascii="Myriad Pro" w:hAnsi="Myriad Pro"/>
                <w:sz w:val="20"/>
                <w:szCs w:val="16"/>
                <w:shd w:val="clear" w:color="auto" w:fill="E0E0E0"/>
              </w:rPr>
              <w:t>met every month online and exchanged knowledge and experience</w:t>
            </w:r>
            <w:r w:rsidR="001B2442">
              <w:rPr>
                <w:rFonts w:ascii="Myriad Pro" w:hAnsi="Myriad Pro"/>
                <w:sz w:val="20"/>
                <w:szCs w:val="16"/>
                <w:shd w:val="clear" w:color="auto" w:fill="E0E0E0"/>
              </w:rPr>
              <w:t>s</w:t>
            </w:r>
            <w:r w:rsidRPr="00562605">
              <w:rPr>
                <w:rFonts w:ascii="Myriad Pro" w:hAnsi="Myriad Pro"/>
                <w:sz w:val="20"/>
                <w:szCs w:val="16"/>
                <w:shd w:val="clear" w:color="auto" w:fill="E0E0E0"/>
              </w:rPr>
              <w:t xml:space="preserve"> on implementing and monitoring national action plans</w:t>
            </w:r>
            <w:r w:rsidR="00C51A9C" w:rsidRPr="00562605">
              <w:rPr>
                <w:rFonts w:ascii="Myriad Pro" w:hAnsi="Myriad Pro"/>
                <w:sz w:val="20"/>
                <w:szCs w:val="16"/>
                <w:shd w:val="clear" w:color="auto" w:fill="E0E0E0"/>
              </w:rPr>
              <w:t xml:space="preserve">, supported by the GCP senior advisors. </w:t>
            </w:r>
          </w:p>
          <w:p w14:paraId="3C970295" w14:textId="193FB468" w:rsidR="006B2B5A" w:rsidRPr="00562605" w:rsidRDefault="00C51A9C" w:rsidP="006B2B5A">
            <w:pPr>
              <w:pStyle w:val="ListParagraph"/>
              <w:numPr>
                <w:ilvl w:val="0"/>
                <w:numId w:val="30"/>
              </w:numPr>
              <w:spacing w:before="60"/>
              <w:ind w:left="94" w:hanging="90"/>
              <w:rPr>
                <w:rFonts w:ascii="Myriad Pro" w:hAnsi="Myriad Pro"/>
                <w:sz w:val="20"/>
                <w:szCs w:val="16"/>
                <w:shd w:val="clear" w:color="auto" w:fill="E0E0E0"/>
              </w:rPr>
            </w:pPr>
            <w:r w:rsidRPr="00562605">
              <w:rPr>
                <w:rFonts w:ascii="Myriad Pro" w:hAnsi="Myriad Pro"/>
                <w:sz w:val="20"/>
                <w:szCs w:val="16"/>
                <w:shd w:val="clear" w:color="auto" w:fill="E0E0E0"/>
              </w:rPr>
              <w:t>G</w:t>
            </w:r>
            <w:r w:rsidR="006B2B5A" w:rsidRPr="00562605">
              <w:rPr>
                <w:rFonts w:ascii="Myriad Pro" w:hAnsi="Myriad Pro"/>
                <w:sz w:val="20"/>
                <w:szCs w:val="16"/>
                <w:shd w:val="clear" w:color="auto" w:fill="E0E0E0"/>
              </w:rPr>
              <w:t xml:space="preserve">uidance documents </w:t>
            </w:r>
            <w:r w:rsidR="00A75B28" w:rsidRPr="00562605">
              <w:rPr>
                <w:rFonts w:ascii="Myriad Pro" w:hAnsi="Myriad Pro"/>
                <w:sz w:val="20"/>
                <w:szCs w:val="16"/>
                <w:shd w:val="clear" w:color="auto" w:fill="E0E0E0"/>
              </w:rPr>
              <w:t>on</w:t>
            </w:r>
            <w:r w:rsidR="003A2724" w:rsidRPr="00562605">
              <w:rPr>
                <w:rFonts w:ascii="Myriad Pro" w:hAnsi="Myriad Pro"/>
                <w:sz w:val="20"/>
                <w:szCs w:val="16"/>
                <w:shd w:val="clear" w:color="auto" w:fill="E0E0E0"/>
              </w:rPr>
              <w:t xml:space="preserve"> commodity platform dialogue and national action plan processes and implementation </w:t>
            </w:r>
            <w:r w:rsidR="006B2B5A" w:rsidRPr="00562605">
              <w:rPr>
                <w:rFonts w:ascii="Myriad Pro" w:hAnsi="Myriad Pro"/>
                <w:sz w:val="20"/>
                <w:szCs w:val="16"/>
                <w:shd w:val="clear" w:color="auto" w:fill="E0E0E0"/>
              </w:rPr>
              <w:t xml:space="preserve">were finalized </w:t>
            </w:r>
            <w:r w:rsidR="003A2724" w:rsidRPr="00562605">
              <w:rPr>
                <w:rFonts w:ascii="Myriad Pro" w:hAnsi="Myriad Pro"/>
                <w:sz w:val="20"/>
                <w:szCs w:val="16"/>
                <w:shd w:val="clear" w:color="auto" w:fill="E0E0E0"/>
              </w:rPr>
              <w:t>and made available to the GCP community</w:t>
            </w:r>
            <w:r w:rsidR="006B2B5A" w:rsidRPr="00562605">
              <w:rPr>
                <w:rFonts w:ascii="Myriad Pro" w:hAnsi="Myriad Pro"/>
                <w:sz w:val="20"/>
                <w:szCs w:val="16"/>
                <w:shd w:val="clear" w:color="auto" w:fill="E0E0E0"/>
              </w:rPr>
              <w:t>.</w:t>
            </w:r>
            <w:r w:rsidR="001B2442">
              <w:rPr>
                <w:rFonts w:ascii="Myriad Pro" w:hAnsi="Myriad Pro"/>
                <w:sz w:val="20"/>
                <w:szCs w:val="16"/>
                <w:shd w:val="clear" w:color="auto" w:fill="E0E0E0"/>
              </w:rPr>
              <w:t xml:space="preserve"> An assessment of the national commodity platform guidance was conducted by an external consultant, with recommendations provided on key components including M&amp;E, technical support, platform methodology/lifecycle, learning &amp; development, partnerships, and gender.  </w:t>
            </w:r>
          </w:p>
          <w:p w14:paraId="084AF2D6" w14:textId="2129601A" w:rsidR="006B2B5A" w:rsidRPr="00562605" w:rsidRDefault="006B2B5A" w:rsidP="006B2B5A">
            <w:pPr>
              <w:pStyle w:val="ListParagraph"/>
              <w:numPr>
                <w:ilvl w:val="0"/>
                <w:numId w:val="30"/>
              </w:numPr>
              <w:spacing w:before="60"/>
              <w:ind w:left="94" w:hanging="90"/>
              <w:rPr>
                <w:rFonts w:ascii="Myriad Pro" w:hAnsi="Myriad Pro"/>
                <w:sz w:val="20"/>
                <w:szCs w:val="16"/>
                <w:shd w:val="clear" w:color="auto" w:fill="E0E0E0"/>
              </w:rPr>
            </w:pPr>
            <w:r w:rsidRPr="00562605">
              <w:rPr>
                <w:rFonts w:ascii="Myriad Pro" w:hAnsi="Myriad Pro"/>
                <w:sz w:val="20"/>
                <w:szCs w:val="16"/>
                <w:shd w:val="clear" w:color="auto" w:fill="E0E0E0"/>
              </w:rPr>
              <w:t>Each project was supervised by a GCP focal point which provides support to Platform Teams as required by the team as well as regular follow up on implementation progress. GCP tailors its support to the following platforms: Indonesia Palm Oil Platform</w:t>
            </w:r>
            <w:r w:rsidR="00E371A2" w:rsidRPr="00562605">
              <w:rPr>
                <w:rFonts w:ascii="Myriad Pro" w:hAnsi="Myriad Pro"/>
                <w:sz w:val="20"/>
                <w:szCs w:val="16"/>
                <w:shd w:val="clear" w:color="auto" w:fill="E0E0E0"/>
              </w:rPr>
              <w:t>;</w:t>
            </w:r>
            <w:r w:rsidRPr="00562605">
              <w:rPr>
                <w:rFonts w:ascii="Myriad Pro" w:hAnsi="Myriad Pro"/>
                <w:sz w:val="20"/>
                <w:szCs w:val="16"/>
                <w:shd w:val="clear" w:color="auto" w:fill="E0E0E0"/>
              </w:rPr>
              <w:t xml:space="preserve"> Paraguay Beef and Soy National Platforms</w:t>
            </w:r>
            <w:r w:rsidR="00E371A2" w:rsidRPr="00562605">
              <w:rPr>
                <w:rFonts w:ascii="Myriad Pro" w:hAnsi="Myriad Pro"/>
                <w:sz w:val="20"/>
                <w:szCs w:val="16"/>
                <w:shd w:val="clear" w:color="auto" w:fill="E0E0E0"/>
              </w:rPr>
              <w:t xml:space="preserve"> and Beef Regional Chaco Platform;</w:t>
            </w:r>
            <w:r w:rsidRPr="00562605">
              <w:rPr>
                <w:rFonts w:ascii="Myriad Pro" w:hAnsi="Myriad Pro"/>
                <w:sz w:val="20"/>
                <w:szCs w:val="16"/>
                <w:shd w:val="clear" w:color="auto" w:fill="E0E0E0"/>
              </w:rPr>
              <w:t xml:space="preserve"> Marine Commodities Platforms</w:t>
            </w:r>
            <w:r w:rsidR="00E371A2" w:rsidRPr="00562605">
              <w:rPr>
                <w:rFonts w:ascii="Myriad Pro" w:hAnsi="Myriad Pro"/>
                <w:sz w:val="20"/>
                <w:szCs w:val="16"/>
                <w:shd w:val="clear" w:color="auto" w:fill="E0E0E0"/>
              </w:rPr>
              <w:t xml:space="preserve"> in Ecuador, Costa Rica, Indonesia, and Philippines;</w:t>
            </w:r>
            <w:r w:rsidRPr="00562605">
              <w:rPr>
                <w:rFonts w:ascii="Myriad Pro" w:hAnsi="Myriad Pro"/>
                <w:sz w:val="20"/>
                <w:szCs w:val="16"/>
                <w:shd w:val="clear" w:color="auto" w:fill="E0E0E0"/>
              </w:rPr>
              <w:t xml:space="preserve"> palm oil platforms in Liberia</w:t>
            </w:r>
            <w:r w:rsidR="00A75B28" w:rsidRPr="00562605">
              <w:rPr>
                <w:rFonts w:ascii="Myriad Pro" w:hAnsi="Myriad Pro"/>
                <w:sz w:val="20"/>
                <w:szCs w:val="16"/>
                <w:shd w:val="clear" w:color="auto" w:fill="E0E0E0"/>
              </w:rPr>
              <w:t>, Côte d’Ivoire,</w:t>
            </w:r>
            <w:r w:rsidRPr="00562605">
              <w:rPr>
                <w:rFonts w:ascii="Myriad Pro" w:hAnsi="Myriad Pro"/>
                <w:sz w:val="20"/>
                <w:szCs w:val="16"/>
                <w:shd w:val="clear" w:color="auto" w:fill="E0E0E0"/>
              </w:rPr>
              <w:t xml:space="preserve"> and Papua New Guinea</w:t>
            </w:r>
            <w:r w:rsidR="00E371A2" w:rsidRPr="00562605">
              <w:rPr>
                <w:rFonts w:ascii="Myriad Pro" w:hAnsi="Myriad Pro"/>
                <w:sz w:val="20"/>
                <w:szCs w:val="16"/>
                <w:shd w:val="clear" w:color="auto" w:fill="E0E0E0"/>
              </w:rPr>
              <w:t>;</w:t>
            </w:r>
            <w:r w:rsidRPr="00562605">
              <w:rPr>
                <w:rFonts w:ascii="Myriad Pro" w:hAnsi="Myriad Pro"/>
                <w:sz w:val="20"/>
                <w:szCs w:val="16"/>
                <w:shd w:val="clear" w:color="auto" w:fill="E0E0E0"/>
              </w:rPr>
              <w:t xml:space="preserve"> Ghana cocoa</w:t>
            </w:r>
            <w:r w:rsidR="003A2724" w:rsidRPr="00562605">
              <w:rPr>
                <w:rFonts w:ascii="Myriad Pro" w:hAnsi="Myriad Pro"/>
                <w:sz w:val="20"/>
                <w:szCs w:val="16"/>
                <w:shd w:val="clear" w:color="auto" w:fill="E0E0E0"/>
              </w:rPr>
              <w:t xml:space="preserve"> platform</w:t>
            </w:r>
            <w:r w:rsidR="00E371A2" w:rsidRPr="00562605">
              <w:rPr>
                <w:rFonts w:ascii="Myriad Pro" w:hAnsi="Myriad Pro"/>
                <w:sz w:val="20"/>
                <w:szCs w:val="16"/>
                <w:shd w:val="clear" w:color="auto" w:fill="E0E0E0"/>
              </w:rPr>
              <w:t>; Peru coffee and cocoa platforms</w:t>
            </w:r>
            <w:r w:rsidR="0004182D" w:rsidRPr="00562605">
              <w:rPr>
                <w:rFonts w:ascii="Myriad Pro" w:hAnsi="Myriad Pro"/>
                <w:sz w:val="20"/>
                <w:szCs w:val="16"/>
                <w:shd w:val="clear" w:color="auto" w:fill="E0E0E0"/>
              </w:rPr>
              <w:t xml:space="preserve">; and Mongolia Cashmere. </w:t>
            </w:r>
          </w:p>
          <w:p w14:paraId="3E52B404" w14:textId="454DFFCD" w:rsidR="006B2B5A" w:rsidRPr="00562605" w:rsidRDefault="003A2724" w:rsidP="006B2B5A">
            <w:pPr>
              <w:pStyle w:val="ListParagraph"/>
              <w:numPr>
                <w:ilvl w:val="0"/>
                <w:numId w:val="30"/>
              </w:numPr>
              <w:spacing w:before="60"/>
              <w:ind w:left="94" w:hanging="90"/>
              <w:rPr>
                <w:rFonts w:ascii="Myriad Pro" w:hAnsi="Myriad Pro"/>
                <w:sz w:val="20"/>
                <w:szCs w:val="16"/>
                <w:shd w:val="clear" w:color="auto" w:fill="E0E0E0"/>
              </w:rPr>
            </w:pPr>
            <w:r w:rsidRPr="00562605">
              <w:rPr>
                <w:rFonts w:ascii="Myriad Pro" w:hAnsi="Myriad Pro"/>
                <w:sz w:val="20"/>
                <w:szCs w:val="16"/>
                <w:shd w:val="clear" w:color="auto" w:fill="E0E0E0"/>
              </w:rPr>
              <w:t>GCP conducted a platform training in Liberia in January 2018</w:t>
            </w:r>
            <w:r w:rsidR="00362CF8" w:rsidRPr="00562605">
              <w:rPr>
                <w:rFonts w:ascii="Myriad Pro" w:hAnsi="Myriad Pro"/>
                <w:sz w:val="20"/>
                <w:szCs w:val="16"/>
                <w:shd w:val="clear" w:color="auto" w:fill="E0E0E0"/>
              </w:rPr>
              <w:t xml:space="preserve">, and in June supported the launch of the Sime Darby palm oil forum. </w:t>
            </w:r>
          </w:p>
          <w:p w14:paraId="05D0C0BE" w14:textId="6D601FFA" w:rsidR="006B2B5A" w:rsidRPr="00562605" w:rsidRDefault="006B2B5A" w:rsidP="006B2B5A">
            <w:pPr>
              <w:pStyle w:val="ListParagraph"/>
              <w:numPr>
                <w:ilvl w:val="0"/>
                <w:numId w:val="30"/>
              </w:numPr>
              <w:spacing w:before="60"/>
              <w:ind w:left="94" w:hanging="90"/>
              <w:rPr>
                <w:rFonts w:ascii="Myriad Pro" w:hAnsi="Myriad Pro"/>
                <w:sz w:val="20"/>
                <w:szCs w:val="16"/>
                <w:shd w:val="clear" w:color="auto" w:fill="E0E0E0"/>
              </w:rPr>
            </w:pPr>
            <w:r w:rsidRPr="00562605">
              <w:rPr>
                <w:rFonts w:ascii="Myriad Pro" w:hAnsi="Myriad Pro"/>
                <w:sz w:val="20"/>
                <w:szCs w:val="16"/>
                <w:shd w:val="clear" w:color="auto" w:fill="E0E0E0"/>
              </w:rPr>
              <w:t xml:space="preserve">GCP </w:t>
            </w:r>
            <w:r w:rsidR="003A2724" w:rsidRPr="00562605">
              <w:rPr>
                <w:rFonts w:ascii="Myriad Pro" w:hAnsi="Myriad Pro"/>
                <w:sz w:val="20"/>
                <w:szCs w:val="16"/>
                <w:shd w:val="clear" w:color="auto" w:fill="E0E0E0"/>
              </w:rPr>
              <w:t xml:space="preserve">supported the launch in Q2 of several sub-national platforms and fora in Indonesia that fall under the national platform umbrella: South </w:t>
            </w:r>
            <w:proofErr w:type="spellStart"/>
            <w:r w:rsidR="003A2724" w:rsidRPr="00562605">
              <w:rPr>
                <w:rFonts w:ascii="Myriad Pro" w:hAnsi="Myriad Pro"/>
                <w:sz w:val="20"/>
                <w:szCs w:val="16"/>
                <w:shd w:val="clear" w:color="auto" w:fill="E0E0E0"/>
              </w:rPr>
              <w:t>Tapanuli</w:t>
            </w:r>
            <w:proofErr w:type="spellEnd"/>
            <w:r w:rsidR="003A2724" w:rsidRPr="00562605">
              <w:rPr>
                <w:rFonts w:ascii="Myriad Pro" w:hAnsi="Myriad Pro"/>
                <w:sz w:val="20"/>
                <w:szCs w:val="16"/>
                <w:shd w:val="clear" w:color="auto" w:fill="E0E0E0"/>
              </w:rPr>
              <w:t xml:space="preserve"> forum, </w:t>
            </w:r>
            <w:proofErr w:type="spellStart"/>
            <w:r w:rsidR="003A2724" w:rsidRPr="00562605">
              <w:rPr>
                <w:rFonts w:ascii="Myriad Pro" w:hAnsi="Myriad Pro"/>
                <w:sz w:val="20"/>
                <w:szCs w:val="16"/>
                <w:shd w:val="clear" w:color="auto" w:fill="E0E0E0"/>
              </w:rPr>
              <w:t>Sintang</w:t>
            </w:r>
            <w:proofErr w:type="spellEnd"/>
            <w:r w:rsidR="003A2724" w:rsidRPr="00562605">
              <w:rPr>
                <w:rFonts w:ascii="Myriad Pro" w:hAnsi="Myriad Pro"/>
                <w:sz w:val="20"/>
                <w:szCs w:val="16"/>
                <w:shd w:val="clear" w:color="auto" w:fill="E0E0E0"/>
              </w:rPr>
              <w:t xml:space="preserve"> forum, North Sumatra platform, and West Kalimantan platform. The draft Indonesia NAP was approved by the platform Steering Committee in April 2018 with more than 300 stakeholder input included, </w:t>
            </w:r>
            <w:r w:rsidR="00362CF8" w:rsidRPr="00562605">
              <w:rPr>
                <w:rFonts w:ascii="Myriad Pro" w:hAnsi="Myriad Pro"/>
                <w:sz w:val="20"/>
                <w:szCs w:val="16"/>
                <w:shd w:val="clear" w:color="auto" w:fill="E0E0E0"/>
              </w:rPr>
              <w:t xml:space="preserve">and in June the Coordinating Ministry of Economic Affairs agreed to incorporate the NAP into the forthcoming Presidential Regulation on Indonesia Sustainable Palm Oil System. </w:t>
            </w:r>
          </w:p>
          <w:p w14:paraId="0B568876" w14:textId="77777777" w:rsidR="00362CF8" w:rsidRPr="00562605" w:rsidRDefault="00362CF8" w:rsidP="00362CF8">
            <w:pPr>
              <w:pStyle w:val="ListParagraph"/>
              <w:numPr>
                <w:ilvl w:val="0"/>
                <w:numId w:val="30"/>
              </w:numPr>
              <w:spacing w:before="60"/>
              <w:ind w:left="94" w:hanging="90"/>
              <w:rPr>
                <w:rFonts w:ascii="Myriad Pro" w:hAnsi="Myriad Pro"/>
                <w:sz w:val="16"/>
                <w:szCs w:val="16"/>
                <w:shd w:val="clear" w:color="auto" w:fill="E0E0E0"/>
              </w:rPr>
            </w:pPr>
            <w:r w:rsidRPr="00562605">
              <w:rPr>
                <w:rFonts w:ascii="Myriad Pro" w:hAnsi="Myriad Pro"/>
                <w:sz w:val="20"/>
                <w:szCs w:val="16"/>
                <w:shd w:val="clear" w:color="auto" w:fill="E0E0E0"/>
              </w:rPr>
              <w:lastRenderedPageBreak/>
              <w:t xml:space="preserve">GCP supported the launch of the Peru Coffee National Action Plan in October 2018. </w:t>
            </w:r>
          </w:p>
          <w:p w14:paraId="282EC1BC" w14:textId="63BA1777" w:rsidR="00362CF8" w:rsidRPr="00562605" w:rsidRDefault="00362CF8" w:rsidP="00362CF8">
            <w:pPr>
              <w:pStyle w:val="ListParagraph"/>
              <w:numPr>
                <w:ilvl w:val="0"/>
                <w:numId w:val="30"/>
              </w:numPr>
              <w:spacing w:before="60"/>
              <w:ind w:left="94" w:hanging="90"/>
              <w:rPr>
                <w:rFonts w:ascii="Myriad Pro" w:hAnsi="Myriad Pro"/>
                <w:sz w:val="16"/>
                <w:szCs w:val="16"/>
                <w:shd w:val="clear" w:color="auto" w:fill="E0E0E0"/>
              </w:rPr>
            </w:pPr>
            <w:r w:rsidRPr="00562605">
              <w:rPr>
                <w:rFonts w:ascii="Myriad Pro" w:hAnsi="Myriad Pro"/>
                <w:sz w:val="20"/>
                <w:szCs w:val="16"/>
                <w:shd w:val="clear" w:color="auto" w:fill="E0E0E0"/>
              </w:rPr>
              <w:t xml:space="preserve">GCP supported the launch of the Costa Rica Fisheries National Action Plan in November 2018. </w:t>
            </w:r>
          </w:p>
        </w:tc>
      </w:tr>
      <w:tr w:rsidR="00725C6B" w:rsidRPr="00C5101B" w14:paraId="1138BF00" w14:textId="77777777" w:rsidTr="00AE6360">
        <w:tc>
          <w:tcPr>
            <w:tcW w:w="1947" w:type="dxa"/>
            <w:tcBorders>
              <w:top w:val="single" w:sz="12" w:space="0" w:color="auto"/>
              <w:left w:val="single" w:sz="12" w:space="0" w:color="auto"/>
            </w:tcBorders>
            <w:shd w:val="clear" w:color="auto" w:fill="C0C0C0"/>
            <w:vAlign w:val="center"/>
          </w:tcPr>
          <w:p w14:paraId="1FDEE996" w14:textId="3A3AFCBC"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sidR="00CE0E8B">
              <w:rPr>
                <w:rFonts w:ascii="Myriad Pro" w:hAnsi="Myriad Pro"/>
                <w:b/>
                <w:sz w:val="18"/>
                <w:szCs w:val="18"/>
                <w:shd w:val="clear" w:color="auto" w:fill="E0E0E0"/>
                <w:lang w:val="es-PA"/>
              </w:rPr>
              <w:t>3</w:t>
            </w:r>
          </w:p>
        </w:tc>
        <w:tc>
          <w:tcPr>
            <w:tcW w:w="3001" w:type="dxa"/>
            <w:gridSpan w:val="2"/>
            <w:tcBorders>
              <w:top w:val="single" w:sz="12" w:space="0" w:color="auto"/>
            </w:tcBorders>
            <w:shd w:val="clear" w:color="auto" w:fill="C0C0C0"/>
            <w:vAlign w:val="center"/>
          </w:tcPr>
          <w:p w14:paraId="45B3F237" w14:textId="5A039338"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35FEFD7" w14:textId="17DBBC29"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3280C600" w14:textId="7883C917"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67DFAA03" w14:textId="77777777" w:rsidTr="00AE6360">
        <w:tc>
          <w:tcPr>
            <w:tcW w:w="1947" w:type="dxa"/>
            <w:tcBorders>
              <w:left w:val="single" w:sz="12" w:space="0" w:color="auto"/>
            </w:tcBorders>
            <w:vAlign w:val="center"/>
          </w:tcPr>
          <w:p w14:paraId="4904240A" w14:textId="30EC9EF2" w:rsidR="00725C6B" w:rsidRPr="000616C1" w:rsidRDefault="00CE0E8B"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Operationalize COP</w:t>
            </w:r>
          </w:p>
        </w:tc>
        <w:tc>
          <w:tcPr>
            <w:tcW w:w="3001" w:type="dxa"/>
            <w:gridSpan w:val="2"/>
            <w:vAlign w:val="center"/>
          </w:tcPr>
          <w:p w14:paraId="5205E4B0" w14:textId="77777777" w:rsidR="00362CF8" w:rsidRPr="00562605" w:rsidRDefault="00362CF8" w:rsidP="00362CF8">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Systematize and share lessons learned between platforms</w:t>
            </w:r>
          </w:p>
          <w:p w14:paraId="106B5000" w14:textId="18CF55CB" w:rsidR="00C849A4" w:rsidRPr="00C849A4" w:rsidRDefault="00E71DBB" w:rsidP="00E328F0">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Relaunch Green Commodities Community</w:t>
            </w:r>
          </w:p>
          <w:p w14:paraId="1E527FFF" w14:textId="745E5E19" w:rsidR="00C849A4" w:rsidRPr="00562605" w:rsidRDefault="00C849A4" w:rsidP="00E328F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Design and facilitate </w:t>
            </w:r>
            <w:r w:rsidR="00E71DBB" w:rsidRPr="00562605">
              <w:rPr>
                <w:rFonts w:ascii="Myriad Pro" w:hAnsi="Myriad Pro"/>
                <w:sz w:val="20"/>
                <w:szCs w:val="16"/>
                <w:shd w:val="clear" w:color="auto" w:fill="E0E0E0"/>
              </w:rPr>
              <w:t xml:space="preserve">GCC virtual </w:t>
            </w:r>
            <w:r w:rsidRPr="00562605">
              <w:rPr>
                <w:rFonts w:ascii="Myriad Pro" w:hAnsi="Myriad Pro"/>
                <w:sz w:val="20"/>
                <w:szCs w:val="16"/>
                <w:shd w:val="clear" w:color="auto" w:fill="E0E0E0"/>
              </w:rPr>
              <w:t>workshop</w:t>
            </w:r>
            <w:r w:rsidR="00E71DBB" w:rsidRPr="00562605">
              <w:rPr>
                <w:rFonts w:ascii="Myriad Pro" w:hAnsi="Myriad Pro"/>
                <w:sz w:val="20"/>
                <w:szCs w:val="16"/>
                <w:shd w:val="clear" w:color="auto" w:fill="E0E0E0"/>
              </w:rPr>
              <w:t>s</w:t>
            </w:r>
          </w:p>
          <w:p w14:paraId="3ABD0A5A" w14:textId="77777777" w:rsidR="00E71DBB" w:rsidRPr="00C849A4" w:rsidRDefault="00E71DBB" w:rsidP="00E71DBB">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Prepare for Good Growth Conference</w:t>
            </w:r>
          </w:p>
          <w:p w14:paraId="3EE76096" w14:textId="19CA7D53" w:rsidR="00725C6B" w:rsidRPr="00562605" w:rsidRDefault="00C849A4" w:rsidP="00E71DBB">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Training Platform teams on GCP platform methodology</w:t>
            </w:r>
          </w:p>
        </w:tc>
        <w:tc>
          <w:tcPr>
            <w:tcW w:w="2845" w:type="dxa"/>
            <w:gridSpan w:val="2"/>
            <w:vAlign w:val="center"/>
          </w:tcPr>
          <w:p w14:paraId="4D7122DF" w14:textId="10C28EAA" w:rsidR="00725C6B" w:rsidRPr="00562605" w:rsidRDefault="00E328F0" w:rsidP="00E328F0">
            <w:pPr>
              <w:tabs>
                <w:tab w:val="left" w:pos="4680"/>
              </w:tabs>
              <w:jc w:val="left"/>
              <w:rPr>
                <w:rFonts w:ascii="Myriad Pro" w:hAnsi="Myriad Pro"/>
                <w:color w:val="FF0000"/>
                <w:sz w:val="20"/>
                <w:szCs w:val="18"/>
                <w:shd w:val="clear" w:color="auto" w:fill="E0E0E0"/>
                <w:lang w:val="en-US"/>
              </w:rPr>
            </w:pPr>
            <w:r w:rsidRPr="00562605">
              <w:rPr>
                <w:rFonts w:ascii="Myriad Pro" w:hAnsi="Myriad Pro"/>
                <w:sz w:val="20"/>
                <w:szCs w:val="16"/>
                <w:shd w:val="clear" w:color="auto" w:fill="E0E0E0"/>
                <w:lang w:val="en-US"/>
              </w:rPr>
              <w:t xml:space="preserve">This project is an umbrella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for several child projects, so there is no </w:t>
            </w:r>
            <w:proofErr w:type="spellStart"/>
            <w:r w:rsidRPr="00562605">
              <w:rPr>
                <w:rFonts w:ascii="Myriad Pro" w:hAnsi="Myriad Pro"/>
                <w:sz w:val="20"/>
                <w:szCs w:val="16"/>
                <w:shd w:val="clear" w:color="auto" w:fill="E0E0E0"/>
                <w:lang w:val="en-US"/>
              </w:rPr>
              <w:t>ProDoc</w:t>
            </w:r>
            <w:proofErr w:type="spellEnd"/>
            <w:r w:rsidRPr="00562605">
              <w:rPr>
                <w:rFonts w:ascii="Myriad Pro" w:hAnsi="Myriad Pro"/>
                <w:sz w:val="20"/>
                <w:szCs w:val="16"/>
                <w:shd w:val="clear" w:color="auto" w:fill="E0E0E0"/>
                <w:lang w:val="en-US"/>
              </w:rPr>
              <w:t xml:space="preserve"> nor specific indicators to measure progress against. Activity results for 2017 are described in the comments section below.</w:t>
            </w:r>
          </w:p>
        </w:tc>
        <w:tc>
          <w:tcPr>
            <w:tcW w:w="1949" w:type="dxa"/>
            <w:tcBorders>
              <w:right w:val="single" w:sz="12" w:space="0" w:color="auto"/>
            </w:tcBorders>
            <w:vAlign w:val="center"/>
          </w:tcPr>
          <w:p w14:paraId="0853B0B0" w14:textId="1B9DDD17" w:rsidR="00725C6B" w:rsidRPr="00E371A2" w:rsidRDefault="00725C6B" w:rsidP="00E63423">
            <w:pPr>
              <w:tabs>
                <w:tab w:val="left" w:pos="4680"/>
              </w:tabs>
              <w:jc w:val="center"/>
              <w:rPr>
                <w:rFonts w:ascii="Myriad Pro" w:hAnsi="Myriad Pro"/>
                <w:sz w:val="18"/>
                <w:szCs w:val="18"/>
                <w:shd w:val="clear" w:color="auto" w:fill="E0E0E0"/>
                <w:lang w:val="es-PA"/>
              </w:rPr>
            </w:pPr>
            <w:r w:rsidRPr="00E371A2">
              <w:rPr>
                <w:rFonts w:ascii="Myriad Pro" w:hAnsi="Myriad Pro"/>
                <w:sz w:val="18"/>
                <w:szCs w:val="18"/>
                <w:shd w:val="clear" w:color="auto" w:fill="E0E0E0"/>
                <w:lang w:val="es-PA"/>
              </w:rPr>
              <w:t>Q1-Q4</w:t>
            </w:r>
          </w:p>
          <w:p w14:paraId="0DAE0417"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E371A2">
              <w:rPr>
                <w:rFonts w:ascii="Myriad Pro" w:hAnsi="Myriad Pro"/>
                <w:sz w:val="18"/>
                <w:szCs w:val="18"/>
                <w:shd w:val="clear" w:color="auto" w:fill="E0E0E0"/>
                <w:lang w:val="es-PA"/>
              </w:rPr>
              <w:t>100</w:t>
            </w:r>
          </w:p>
        </w:tc>
      </w:tr>
      <w:tr w:rsidR="000616C1" w:rsidRPr="00C5101B" w14:paraId="25157527" w14:textId="77777777" w:rsidTr="000616C1">
        <w:tc>
          <w:tcPr>
            <w:tcW w:w="1947" w:type="dxa"/>
            <w:tcBorders>
              <w:left w:val="single" w:sz="12" w:space="0" w:color="auto"/>
            </w:tcBorders>
            <w:shd w:val="clear" w:color="auto" w:fill="BFBFBF" w:themeFill="background1" w:themeFillShade="BF"/>
            <w:vAlign w:val="center"/>
          </w:tcPr>
          <w:p w14:paraId="5FF570B0" w14:textId="7457F2FA"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3E76AB55" w14:textId="62C40B96"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62605">
              <w:rPr>
                <w:rFonts w:ascii="Myriad Pro" w:hAnsi="Myriad Pro"/>
                <w:sz w:val="20"/>
                <w:szCs w:val="16"/>
                <w:shd w:val="clear" w:color="auto" w:fill="E0E0E0"/>
              </w:rPr>
              <w:t xml:space="preserve">Maintain KM system with all guidance: more than 80 guidance documents </w:t>
            </w:r>
            <w:r w:rsidR="00362CF8" w:rsidRPr="00562605">
              <w:rPr>
                <w:rFonts w:ascii="Myriad Pro" w:hAnsi="Myriad Pro"/>
                <w:sz w:val="20"/>
                <w:szCs w:val="16"/>
                <w:shd w:val="clear" w:color="auto" w:fill="E0E0E0"/>
              </w:rPr>
              <w:t>are</w:t>
            </w:r>
            <w:r w:rsidRPr="00562605">
              <w:rPr>
                <w:rFonts w:ascii="Myriad Pro" w:hAnsi="Myriad Pro"/>
                <w:sz w:val="20"/>
                <w:szCs w:val="16"/>
                <w:shd w:val="clear" w:color="auto" w:fill="E0E0E0"/>
              </w:rPr>
              <w:t xml:space="preserve"> available for the National Platform Community of Practice via a free and public Google Drive. </w:t>
            </w:r>
            <w:r w:rsidRPr="005D296B">
              <w:rPr>
                <w:rFonts w:ascii="Myriad Pro" w:hAnsi="Myriad Pro"/>
                <w:sz w:val="20"/>
                <w:szCs w:val="16"/>
                <w:shd w:val="clear" w:color="auto" w:fill="E0E0E0"/>
                <w:lang w:val="es-PA"/>
              </w:rPr>
              <w:t>Most documents are available both in English and Spanish.</w:t>
            </w:r>
            <w:r w:rsidR="00362CF8">
              <w:rPr>
                <w:rFonts w:ascii="Myriad Pro" w:hAnsi="Myriad Pro"/>
                <w:sz w:val="20"/>
                <w:szCs w:val="16"/>
                <w:shd w:val="clear" w:color="auto" w:fill="E0E0E0"/>
                <w:lang w:val="es-PA"/>
              </w:rPr>
              <w:t xml:space="preserve"> </w:t>
            </w:r>
          </w:p>
          <w:p w14:paraId="6997A070" w14:textId="77777777" w:rsidR="005D296B" w:rsidRPr="00562605" w:rsidRDefault="005D296B" w:rsidP="005D296B">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Knowledge is shared thru the GCP´s National Commodity Platform Guidance which is a Google Drive online access for platform practitioners to access information such as: 1- Guidance Overview, 2- Root Causes Analysis, 3- Platform Design, 4- Measuring Success, 5- Platform Life Cycle, 6- Platform Governance, 7- Stakeholder Engagement, 8- Platform Management, 9- National Action Plan, 10- Gender, 11- Working Group Implementation &amp; Monitoring. </w:t>
            </w:r>
          </w:p>
          <w:p w14:paraId="32F40FBB" w14:textId="4EF5656D" w:rsidR="00362CF8" w:rsidRPr="00562605" w:rsidRDefault="006432DA" w:rsidP="005D296B">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GCP community of practice, the Green Commodities Community (GCC) was relaunched in March 2018. By the end of 2018, the community had grown to 170 participants and 130 oriented members</w:t>
            </w:r>
            <w:r w:rsidR="00770889">
              <w:rPr>
                <w:rFonts w:ascii="Myriad Pro" w:hAnsi="Myriad Pro"/>
                <w:sz w:val="20"/>
                <w:szCs w:val="16"/>
                <w:shd w:val="clear" w:color="auto" w:fill="E0E0E0"/>
              </w:rPr>
              <w:t>, 55% of whom are women,</w:t>
            </w:r>
            <w:r w:rsidRPr="00562605">
              <w:rPr>
                <w:rFonts w:ascii="Myriad Pro" w:hAnsi="Myriad Pro"/>
                <w:sz w:val="20"/>
                <w:szCs w:val="16"/>
                <w:shd w:val="clear" w:color="auto" w:fill="E0E0E0"/>
              </w:rPr>
              <w:t xml:space="preserve"> representing 12 countries 30 organizations. 23 virtual workshops were held across 11 thematic and knowledge streams with an average of 14 participants per workshop. </w:t>
            </w:r>
            <w:r w:rsidR="00770889">
              <w:rPr>
                <w:rFonts w:ascii="Myriad Pro" w:hAnsi="Myriad Pro"/>
                <w:sz w:val="20"/>
                <w:szCs w:val="16"/>
                <w:shd w:val="clear" w:color="auto" w:fill="E0E0E0"/>
              </w:rPr>
              <w:t xml:space="preserve">Gender was the third largest knowledge stream, with 42 registered participants (32% of all members). </w:t>
            </w:r>
          </w:p>
          <w:p w14:paraId="78F2CA3E" w14:textId="5CE39A03" w:rsidR="005D296B" w:rsidRPr="00562605" w:rsidRDefault="006432DA" w:rsidP="005D296B">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The GCC Google Drive was restructured, and all workshop recordings, presentations, and related materials are available immediately after each workshop. Lessons learned are captured from each workshop, validated with the moderators, and shared with the participants.  </w:t>
            </w:r>
          </w:p>
          <w:p w14:paraId="2A1A8EAF" w14:textId="61D59E69" w:rsidR="005D296B" w:rsidRPr="00562605" w:rsidRDefault="00ED7B73" w:rsidP="005D296B">
            <w:pPr>
              <w:pStyle w:val="ListParagraph"/>
              <w:numPr>
                <w:ilvl w:val="0"/>
                <w:numId w:val="28"/>
              </w:numPr>
              <w:spacing w:before="60"/>
              <w:ind w:left="94" w:hanging="94"/>
              <w:rPr>
                <w:rFonts w:ascii="Myriad Pro" w:hAnsi="Myriad Pro"/>
                <w:sz w:val="20"/>
                <w:szCs w:val="16"/>
                <w:shd w:val="clear" w:color="auto" w:fill="E0E0E0"/>
              </w:rPr>
            </w:pPr>
            <w:r w:rsidRPr="00562605">
              <w:rPr>
                <w:rFonts w:ascii="Myriad Pro" w:hAnsi="Myriad Pro"/>
                <w:sz w:val="20"/>
                <w:szCs w:val="16"/>
                <w:shd w:val="clear" w:color="auto" w:fill="E0E0E0"/>
              </w:rPr>
              <w:t>The GCC’s Good Growth Conference has been planned for May 2019 in Peru</w:t>
            </w:r>
            <w:r w:rsidR="00B822F7" w:rsidRPr="00562605">
              <w:rPr>
                <w:rFonts w:ascii="Myriad Pro" w:hAnsi="Myriad Pro"/>
                <w:sz w:val="20"/>
                <w:szCs w:val="16"/>
                <w:shd w:val="clear" w:color="auto" w:fill="E0E0E0"/>
              </w:rPr>
              <w:t>, with key preparations made during 2018. The location and date were confirmed after a scoping exercise and field visit, followed by an additional site visit to the facility. The Peru country office coordination team has been assembled, the save-the-date was sent, the conference website was launched, and registration has opened. The draft agenda has been prepared</w:t>
            </w:r>
            <w:r w:rsidR="00770889">
              <w:rPr>
                <w:rFonts w:ascii="Myriad Pro" w:hAnsi="Myriad Pro"/>
                <w:sz w:val="20"/>
                <w:szCs w:val="16"/>
                <w:shd w:val="clear" w:color="auto" w:fill="E0E0E0"/>
              </w:rPr>
              <w:t>, including a gender roundtable featuring women working at different levels of the supply chain and in different commodities,</w:t>
            </w:r>
            <w:r w:rsidR="00B822F7" w:rsidRPr="00562605">
              <w:rPr>
                <w:rFonts w:ascii="Myriad Pro" w:hAnsi="Myriad Pro"/>
                <w:sz w:val="20"/>
                <w:szCs w:val="16"/>
                <w:shd w:val="clear" w:color="auto" w:fill="E0E0E0"/>
              </w:rPr>
              <w:t xml:space="preserve"> and two learning visits for the conference have been confirmed. </w:t>
            </w:r>
          </w:p>
          <w:p w14:paraId="6D104AE0" w14:textId="072C44AC" w:rsidR="00043E88" w:rsidRPr="00562605" w:rsidRDefault="005D296B" w:rsidP="00043E88">
            <w:pPr>
              <w:pStyle w:val="ListParagraph"/>
              <w:numPr>
                <w:ilvl w:val="0"/>
                <w:numId w:val="28"/>
              </w:numPr>
              <w:spacing w:before="60"/>
              <w:ind w:left="94" w:hanging="94"/>
              <w:rPr>
                <w:rFonts w:ascii="Myriad Pro" w:hAnsi="Myriad Pro"/>
                <w:sz w:val="20"/>
                <w:szCs w:val="16"/>
                <w:shd w:val="clear" w:color="auto" w:fill="E0E0E0"/>
              </w:rPr>
            </w:pPr>
            <w:r w:rsidRPr="00562605">
              <w:rPr>
                <w:rFonts w:ascii="Myriad Pro" w:hAnsi="Myriad Pro"/>
                <w:sz w:val="20"/>
                <w:szCs w:val="16"/>
                <w:shd w:val="clear" w:color="auto" w:fill="E0E0E0"/>
              </w:rPr>
              <w:t xml:space="preserve">Training Platform teams on GCP platform methodology: Training sessions for the platform teams in Ecuador, Indonesia, </w:t>
            </w:r>
            <w:r w:rsidR="00B822F7" w:rsidRPr="00562605">
              <w:rPr>
                <w:rFonts w:ascii="Myriad Pro" w:hAnsi="Myriad Pro"/>
                <w:sz w:val="20"/>
                <w:szCs w:val="16"/>
                <w:shd w:val="clear" w:color="auto" w:fill="E0E0E0"/>
              </w:rPr>
              <w:t xml:space="preserve">Liberia, </w:t>
            </w:r>
            <w:r w:rsidRPr="00562605">
              <w:rPr>
                <w:rFonts w:ascii="Myriad Pro" w:hAnsi="Myriad Pro"/>
                <w:sz w:val="20"/>
                <w:szCs w:val="16"/>
                <w:shd w:val="clear" w:color="auto" w:fill="E0E0E0"/>
              </w:rPr>
              <w:t>and Papua New Guinea were held.</w:t>
            </w:r>
            <w:r w:rsidR="00B822F7" w:rsidRPr="00562605">
              <w:rPr>
                <w:rFonts w:ascii="Myriad Pro" w:hAnsi="Myriad Pro"/>
                <w:sz w:val="20"/>
                <w:szCs w:val="16"/>
                <w:shd w:val="clear" w:color="auto" w:fill="E0E0E0"/>
              </w:rPr>
              <w:t xml:space="preserve"> </w:t>
            </w:r>
          </w:p>
        </w:tc>
      </w:tr>
      <w:tr w:rsidR="000616C1" w:rsidRPr="00C5101B" w14:paraId="58983105" w14:textId="77777777" w:rsidTr="00AE6360">
        <w:tc>
          <w:tcPr>
            <w:tcW w:w="1947" w:type="dxa"/>
            <w:tcBorders>
              <w:left w:val="single" w:sz="12" w:space="0" w:color="auto"/>
            </w:tcBorders>
            <w:shd w:val="clear" w:color="auto" w:fill="BFBFBF" w:themeFill="background1" w:themeFillShade="BF"/>
            <w:vAlign w:val="center"/>
          </w:tcPr>
          <w:p w14:paraId="799C9CF4" w14:textId="255A5530"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w:t>
            </w:r>
            <w:r w:rsidR="00C5474C">
              <w:rPr>
                <w:rFonts w:ascii="Myriad Pro" w:hAnsi="Myriad Pro"/>
                <w:b/>
                <w:sz w:val="18"/>
                <w:szCs w:val="18"/>
                <w:shd w:val="clear" w:color="auto" w:fill="E0E0E0"/>
                <w:lang w:val="es-PA"/>
              </w:rPr>
              <w:t>4</w:t>
            </w:r>
          </w:p>
        </w:tc>
        <w:tc>
          <w:tcPr>
            <w:tcW w:w="3001" w:type="dxa"/>
            <w:gridSpan w:val="2"/>
            <w:shd w:val="clear" w:color="auto" w:fill="BFBFBF" w:themeFill="background1" w:themeFillShade="BF"/>
            <w:vAlign w:val="center"/>
          </w:tcPr>
          <w:p w14:paraId="083E3D5F" w14:textId="4E9C6BCB"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56C51B62" w14:textId="61E02063"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62B86F71" w14:textId="6E476767" w:rsidR="000616C1" w:rsidRPr="00C5101B" w:rsidRDefault="000616C1" w:rsidP="00E63423">
            <w:pPr>
              <w:tabs>
                <w:tab w:val="left" w:pos="4680"/>
              </w:tabs>
              <w:jc w:val="center"/>
              <w:rPr>
                <w:rFonts w:ascii="Myriad Pro" w:hAnsi="Myriad Pro"/>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304CAA71" w14:textId="77777777" w:rsidTr="00AE6360">
        <w:trPr>
          <w:trHeight w:val="775"/>
        </w:trPr>
        <w:tc>
          <w:tcPr>
            <w:tcW w:w="1947" w:type="dxa"/>
            <w:tcBorders>
              <w:left w:val="single" w:sz="12" w:space="0" w:color="auto"/>
            </w:tcBorders>
            <w:vAlign w:val="center"/>
          </w:tcPr>
          <w:p w14:paraId="619D6707" w14:textId="2334C190"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Engagement with Private Sector</w:t>
            </w:r>
          </w:p>
        </w:tc>
        <w:tc>
          <w:tcPr>
            <w:tcW w:w="3001" w:type="dxa"/>
            <w:gridSpan w:val="2"/>
            <w:vAlign w:val="center"/>
          </w:tcPr>
          <w:p w14:paraId="2B1BE89A" w14:textId="57B419FC" w:rsidR="00AE6360" w:rsidRPr="00562605" w:rsidRDefault="009133A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Launch Value Beyond Value Chains initiative with private sector support</w:t>
            </w:r>
          </w:p>
          <w:p w14:paraId="68B717D0" w14:textId="77777777" w:rsidR="00AE6360" w:rsidRPr="00562605" w:rsidRDefault="00AE636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Establish new and strengthen existing private sector partnerships</w:t>
            </w:r>
          </w:p>
          <w:p w14:paraId="6E866C0E" w14:textId="3A8B9BAA" w:rsidR="00AE6360" w:rsidRPr="00562605" w:rsidRDefault="00AE6360" w:rsidP="009133A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Raise profile of GCP through participation in industry events</w:t>
            </w:r>
          </w:p>
        </w:tc>
        <w:tc>
          <w:tcPr>
            <w:tcW w:w="2845" w:type="dxa"/>
            <w:gridSpan w:val="2"/>
            <w:vAlign w:val="center"/>
          </w:tcPr>
          <w:p w14:paraId="35EC403C" w14:textId="161E8D3D" w:rsidR="00AE6360" w:rsidRPr="00562605" w:rsidRDefault="00AE6360" w:rsidP="00AE6360">
            <w:pPr>
              <w:tabs>
                <w:tab w:val="left" w:pos="4680"/>
              </w:tabs>
              <w:jc w:val="left"/>
              <w:rPr>
                <w:rFonts w:ascii="Myriad Pro" w:hAnsi="Myriad Pro"/>
                <w:sz w:val="20"/>
                <w:szCs w:val="16"/>
                <w:shd w:val="clear" w:color="auto" w:fill="E0E0E0"/>
                <w:lang w:val="en-US"/>
              </w:rPr>
            </w:pPr>
            <w:r w:rsidRPr="00562605">
              <w:rPr>
                <w:rFonts w:ascii="Myriad Pro" w:hAnsi="Myriad Pro"/>
                <w:sz w:val="20"/>
                <w:szCs w:val="16"/>
                <w:shd w:val="clear" w:color="auto" w:fill="E0E0E0"/>
                <w:lang w:val="en-US"/>
              </w:rPr>
              <w:t xml:space="preserve">This project is an umbrella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for several child projects, so there is no </w:t>
            </w:r>
            <w:proofErr w:type="spellStart"/>
            <w:r w:rsidRPr="00562605">
              <w:rPr>
                <w:rFonts w:ascii="Myriad Pro" w:hAnsi="Myriad Pro"/>
                <w:sz w:val="20"/>
                <w:szCs w:val="16"/>
                <w:shd w:val="clear" w:color="auto" w:fill="E0E0E0"/>
                <w:lang w:val="en-US"/>
              </w:rPr>
              <w:t>ProDoc</w:t>
            </w:r>
            <w:proofErr w:type="spellEnd"/>
            <w:r w:rsidRPr="00562605">
              <w:rPr>
                <w:rFonts w:ascii="Myriad Pro" w:hAnsi="Myriad Pro"/>
                <w:sz w:val="20"/>
                <w:szCs w:val="16"/>
                <w:shd w:val="clear" w:color="auto" w:fill="E0E0E0"/>
                <w:lang w:val="en-US"/>
              </w:rPr>
              <w:t xml:space="preserve"> nor specific indicators to measure progress against. Activity results for 2017 are described in the comments section below.</w:t>
            </w:r>
          </w:p>
        </w:tc>
        <w:tc>
          <w:tcPr>
            <w:tcW w:w="1949" w:type="dxa"/>
            <w:tcBorders>
              <w:right w:val="single" w:sz="12" w:space="0" w:color="auto"/>
            </w:tcBorders>
            <w:vAlign w:val="center"/>
          </w:tcPr>
          <w:p w14:paraId="2097C301" w14:textId="77777777" w:rsidR="00AE6360" w:rsidRPr="00CF51D4" w:rsidRDefault="00AE6360" w:rsidP="00E63423">
            <w:pPr>
              <w:tabs>
                <w:tab w:val="left" w:pos="4680"/>
              </w:tabs>
              <w:jc w:val="center"/>
              <w:rPr>
                <w:rFonts w:ascii="Myriad Pro" w:hAnsi="Myriad Pro"/>
                <w:sz w:val="18"/>
                <w:szCs w:val="18"/>
                <w:shd w:val="clear" w:color="auto" w:fill="E0E0E0"/>
                <w:lang w:val="es-PA"/>
              </w:rPr>
            </w:pPr>
            <w:r w:rsidRPr="00CF51D4">
              <w:rPr>
                <w:rFonts w:ascii="Myriad Pro" w:hAnsi="Myriad Pro"/>
                <w:sz w:val="18"/>
                <w:szCs w:val="18"/>
                <w:shd w:val="clear" w:color="auto" w:fill="E0E0E0"/>
                <w:lang w:val="es-PA"/>
              </w:rPr>
              <w:t>Q1-Q4</w:t>
            </w:r>
          </w:p>
          <w:p w14:paraId="43690E0C" w14:textId="7920C272" w:rsidR="00AE6360" w:rsidRPr="00C5101B" w:rsidRDefault="00AE6360" w:rsidP="00E63423">
            <w:pPr>
              <w:tabs>
                <w:tab w:val="left" w:pos="4680"/>
              </w:tabs>
              <w:jc w:val="center"/>
              <w:rPr>
                <w:rFonts w:ascii="Myriad Pro" w:hAnsi="Myriad Pro"/>
                <w:sz w:val="18"/>
                <w:szCs w:val="18"/>
                <w:shd w:val="clear" w:color="auto" w:fill="E0E0E0"/>
                <w:lang w:val="es-PA"/>
              </w:rPr>
            </w:pPr>
            <w:r w:rsidRPr="00CF51D4">
              <w:rPr>
                <w:rFonts w:ascii="Myriad Pro" w:hAnsi="Myriad Pro"/>
                <w:sz w:val="18"/>
                <w:szCs w:val="18"/>
                <w:shd w:val="clear" w:color="auto" w:fill="E0E0E0"/>
                <w:lang w:val="es-PA"/>
              </w:rPr>
              <w:t>100</w:t>
            </w:r>
          </w:p>
        </w:tc>
      </w:tr>
      <w:tr w:rsidR="00AE6360" w:rsidRPr="00C5101B" w14:paraId="4599B365" w14:textId="77777777" w:rsidTr="000616C1">
        <w:tc>
          <w:tcPr>
            <w:tcW w:w="1947" w:type="dxa"/>
            <w:tcBorders>
              <w:left w:val="single" w:sz="12" w:space="0" w:color="auto"/>
            </w:tcBorders>
            <w:shd w:val="clear" w:color="auto" w:fill="BFBFBF" w:themeFill="background1" w:themeFillShade="BF"/>
            <w:vAlign w:val="center"/>
          </w:tcPr>
          <w:p w14:paraId="083380DA" w14:textId="78D07B62"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431247EE" w14:textId="63E0C503" w:rsidR="00A4707A" w:rsidRPr="00C8049B" w:rsidRDefault="00D12E1F" w:rsidP="00A4707A">
            <w:pPr>
              <w:pStyle w:val="ListParagraph"/>
              <w:numPr>
                <w:ilvl w:val="0"/>
                <w:numId w:val="28"/>
              </w:numPr>
              <w:ind w:left="94" w:hanging="184"/>
            </w:pPr>
            <w:r w:rsidRPr="00562605">
              <w:rPr>
                <w:rFonts w:ascii="Myriad Pro" w:hAnsi="Myriad Pro"/>
                <w:sz w:val="20"/>
                <w:szCs w:val="16"/>
                <w:shd w:val="clear" w:color="auto" w:fill="E0E0E0"/>
              </w:rPr>
              <w:t xml:space="preserve">GCP designed and launched the Value Beyond Value Chains </w:t>
            </w:r>
            <w:r w:rsidR="00C8049B" w:rsidRPr="00562605">
              <w:rPr>
                <w:rFonts w:ascii="Myriad Pro" w:hAnsi="Myriad Pro"/>
                <w:sz w:val="20"/>
                <w:szCs w:val="16"/>
                <w:shd w:val="clear" w:color="auto" w:fill="E0E0E0"/>
              </w:rPr>
              <w:t xml:space="preserve">(VBVC) </w:t>
            </w:r>
            <w:r w:rsidRPr="00562605">
              <w:rPr>
                <w:rFonts w:ascii="Myriad Pro" w:hAnsi="Myriad Pro"/>
                <w:sz w:val="20"/>
                <w:szCs w:val="16"/>
                <w:shd w:val="clear" w:color="auto" w:fill="E0E0E0"/>
              </w:rPr>
              <w:t>private sector initiative. A one-day kick off workshop was held in April in London with participants from Cargill, IKEA, M&amp;S, Mars, Mondelez, Olam, Sime Darby, Tesco, Touton, Unilever, Global Agribusiness Alliance, F</w:t>
            </w:r>
            <w:r w:rsidR="00C8049B" w:rsidRPr="00562605">
              <w:rPr>
                <w:rFonts w:ascii="Myriad Pro" w:hAnsi="Myriad Pro"/>
                <w:sz w:val="20"/>
                <w:szCs w:val="16"/>
                <w:shd w:val="clear" w:color="auto" w:fill="E0E0E0"/>
              </w:rPr>
              <w:t>ood and Land Use Coalition (FOLU)</w:t>
            </w:r>
            <w:r w:rsidRPr="00562605">
              <w:rPr>
                <w:rFonts w:ascii="Myriad Pro" w:hAnsi="Myriad Pro"/>
                <w:sz w:val="20"/>
                <w:szCs w:val="16"/>
                <w:shd w:val="clear" w:color="auto" w:fill="E0E0E0"/>
              </w:rPr>
              <w:t xml:space="preserve">, and </w:t>
            </w:r>
            <w:proofErr w:type="spellStart"/>
            <w:r w:rsidRPr="00562605">
              <w:rPr>
                <w:rFonts w:ascii="Myriad Pro" w:hAnsi="Myriad Pro"/>
                <w:sz w:val="20"/>
                <w:szCs w:val="16"/>
                <w:shd w:val="clear" w:color="auto" w:fill="E0E0E0"/>
              </w:rPr>
              <w:t>Proforest</w:t>
            </w:r>
            <w:proofErr w:type="spellEnd"/>
            <w:r w:rsidRPr="00562605">
              <w:rPr>
                <w:rFonts w:ascii="Myriad Pro" w:hAnsi="Myriad Pro"/>
                <w:sz w:val="20"/>
                <w:szCs w:val="16"/>
                <w:shd w:val="clear" w:color="auto" w:fill="E0E0E0"/>
              </w:rPr>
              <w:t>.</w:t>
            </w:r>
            <w:r w:rsidR="00C8049B" w:rsidRPr="00562605">
              <w:rPr>
                <w:rFonts w:ascii="Myriad Pro" w:hAnsi="Myriad Pro"/>
                <w:sz w:val="20"/>
                <w:szCs w:val="16"/>
                <w:shd w:val="clear" w:color="auto" w:fill="E0E0E0"/>
              </w:rPr>
              <w:t xml:space="preserve"> A VBVC Advisory Group was created to help steer the project, consisting of representatives from </w:t>
            </w:r>
            <w:r w:rsidR="00C8049B" w:rsidRPr="00562605">
              <w:rPr>
                <w:rFonts w:ascii="Myriad Pro" w:hAnsi="Myriad Pro"/>
                <w:sz w:val="20"/>
                <w:szCs w:val="16"/>
                <w:shd w:val="clear" w:color="auto" w:fill="E0E0E0"/>
              </w:rPr>
              <w:lastRenderedPageBreak/>
              <w:t xml:space="preserve">Cargill, IKEA, Mars, Mondelez, Tesco, </w:t>
            </w:r>
            <w:proofErr w:type="spellStart"/>
            <w:r w:rsidR="00C8049B" w:rsidRPr="00562605">
              <w:rPr>
                <w:rFonts w:ascii="Myriad Pro" w:hAnsi="Myriad Pro"/>
                <w:sz w:val="20"/>
                <w:szCs w:val="16"/>
                <w:shd w:val="clear" w:color="auto" w:fill="E0E0E0"/>
              </w:rPr>
              <w:t>Proforest</w:t>
            </w:r>
            <w:proofErr w:type="spellEnd"/>
            <w:r w:rsidR="00C8049B" w:rsidRPr="00562605">
              <w:rPr>
                <w:rFonts w:ascii="Myriad Pro" w:hAnsi="Myriad Pro"/>
                <w:sz w:val="20"/>
                <w:szCs w:val="16"/>
                <w:shd w:val="clear" w:color="auto" w:fill="E0E0E0"/>
              </w:rPr>
              <w:t xml:space="preserve">, and FOLU; the group met twice during 2018. </w:t>
            </w:r>
          </w:p>
          <w:p w14:paraId="4017CD27" w14:textId="40F2E439" w:rsidR="00A47BB5" w:rsidRPr="00562605" w:rsidRDefault="00C8049B" w:rsidP="00A47BB5">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GCP’s global advisors supported the Good Growth Partnership projects with a side meeting at the TFA 2020 General Assembly, with panel participation from Cargill. </w:t>
            </w:r>
          </w:p>
          <w:p w14:paraId="412A3A45" w14:textId="7BC84501" w:rsidR="00A4707A" w:rsidRPr="00562605" w:rsidRDefault="00A4707A" w:rsidP="00A47BB5">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organized and moderated a panel on </w:t>
            </w:r>
            <w:r w:rsidRPr="00562605">
              <w:rPr>
                <w:rFonts w:ascii="Myriad Pro" w:hAnsi="Myriad Pro"/>
                <w:i/>
                <w:sz w:val="20"/>
                <w:szCs w:val="16"/>
                <w:shd w:val="clear" w:color="auto" w:fill="E0E0E0"/>
              </w:rPr>
              <w:t xml:space="preserve">Halting Deforestation and Increasing Forest Area – from Aspiration to Action </w:t>
            </w:r>
            <w:r w:rsidRPr="00562605">
              <w:rPr>
                <w:rFonts w:ascii="Myriad Pro" w:hAnsi="Myriad Pro"/>
                <w:sz w:val="20"/>
                <w:szCs w:val="16"/>
                <w:shd w:val="clear" w:color="auto" w:fill="E0E0E0"/>
              </w:rPr>
              <w:t xml:space="preserve">at the FAO forests conference in Rome in February, with participants including Golden Agri Resources, Barry Callebaut, and Olam. </w:t>
            </w:r>
          </w:p>
          <w:p w14:paraId="1FF4B3B2" w14:textId="29F89278" w:rsidR="00A47BB5" w:rsidRPr="00562605" w:rsidRDefault="00A47BB5" w:rsidP="00A47BB5">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supported GGP in hosting a private sector roundtable event in October in Washington DC, attended by participants from ADM, BNP Paribas, Bunge, Cargill, Citi, Kraft Heinz, Mars, Mondelez, Nestlé, Olam, and PepsiCo. </w:t>
            </w:r>
          </w:p>
          <w:p w14:paraId="364B7B1E" w14:textId="5EC11819" w:rsidR="00AE6360" w:rsidRPr="00562605" w:rsidRDefault="00AE636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GCP strengthened its existing partnership</w:t>
            </w:r>
            <w:r w:rsidR="00C8049B" w:rsidRPr="00562605">
              <w:rPr>
                <w:rFonts w:ascii="Myriad Pro" w:hAnsi="Myriad Pro"/>
                <w:sz w:val="20"/>
                <w:szCs w:val="16"/>
                <w:shd w:val="clear" w:color="auto" w:fill="E0E0E0"/>
              </w:rPr>
              <w:t xml:space="preserve"> with</w:t>
            </w:r>
            <w:r w:rsidRPr="00562605">
              <w:rPr>
                <w:rFonts w:ascii="Myriad Pro" w:hAnsi="Myriad Pro"/>
                <w:sz w:val="20"/>
                <w:szCs w:val="16"/>
                <w:shd w:val="clear" w:color="auto" w:fill="E0E0E0"/>
              </w:rPr>
              <w:t xml:space="preserve"> IKE</w:t>
            </w:r>
            <w:r w:rsidR="00C8049B" w:rsidRPr="00562605">
              <w:rPr>
                <w:rFonts w:ascii="Myriad Pro" w:hAnsi="Myriad Pro"/>
                <w:sz w:val="20"/>
                <w:szCs w:val="16"/>
                <w:shd w:val="clear" w:color="auto" w:fill="E0E0E0"/>
              </w:rPr>
              <w:t xml:space="preserve">A, which in November 2018 renewed funding for SPOI in Indonesia, and with Mondelez, which continues to partner with GCP for </w:t>
            </w:r>
            <w:proofErr w:type="spellStart"/>
            <w:r w:rsidR="00C8049B" w:rsidRPr="00562605">
              <w:rPr>
                <w:rFonts w:ascii="Myriad Pro" w:hAnsi="Myriad Pro"/>
                <w:sz w:val="20"/>
                <w:szCs w:val="16"/>
                <w:shd w:val="clear" w:color="auto" w:fill="E0E0E0"/>
              </w:rPr>
              <w:t>CocoaLife</w:t>
            </w:r>
            <w:proofErr w:type="spellEnd"/>
            <w:r w:rsidR="00C8049B" w:rsidRPr="00562605">
              <w:rPr>
                <w:rFonts w:ascii="Myriad Pro" w:hAnsi="Myriad Pro"/>
                <w:sz w:val="20"/>
                <w:szCs w:val="16"/>
                <w:shd w:val="clear" w:color="auto" w:fill="E0E0E0"/>
              </w:rPr>
              <w:t xml:space="preserve"> in Ghana. </w:t>
            </w:r>
          </w:p>
          <w:p w14:paraId="08BF0EEF" w14:textId="30C67137" w:rsidR="00AE6360" w:rsidRPr="00562605" w:rsidRDefault="00AE636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continued participation on </w:t>
            </w:r>
            <w:r w:rsidR="00C8049B" w:rsidRPr="00562605">
              <w:rPr>
                <w:rFonts w:ascii="Myriad Pro" w:hAnsi="Myriad Pro"/>
                <w:sz w:val="20"/>
                <w:szCs w:val="16"/>
                <w:shd w:val="clear" w:color="auto" w:fill="E0E0E0"/>
              </w:rPr>
              <w:t xml:space="preserve">the </w:t>
            </w:r>
            <w:r w:rsidRPr="00562605">
              <w:rPr>
                <w:rFonts w:ascii="Myriad Pro" w:hAnsi="Myriad Pro"/>
                <w:sz w:val="20"/>
                <w:szCs w:val="16"/>
                <w:shd w:val="clear" w:color="auto" w:fill="E0E0E0"/>
              </w:rPr>
              <w:t xml:space="preserve">Mondelez </w:t>
            </w:r>
            <w:proofErr w:type="spellStart"/>
            <w:r w:rsidRPr="00562605">
              <w:rPr>
                <w:rFonts w:ascii="Myriad Pro" w:hAnsi="Myriad Pro"/>
                <w:sz w:val="20"/>
                <w:szCs w:val="16"/>
                <w:shd w:val="clear" w:color="auto" w:fill="E0E0E0"/>
              </w:rPr>
              <w:t>CocoaLife</w:t>
            </w:r>
            <w:proofErr w:type="spellEnd"/>
            <w:r w:rsidRPr="00562605">
              <w:rPr>
                <w:rFonts w:ascii="Myriad Pro" w:hAnsi="Myriad Pro"/>
                <w:sz w:val="20"/>
                <w:szCs w:val="16"/>
                <w:shd w:val="clear" w:color="auto" w:fill="E0E0E0"/>
              </w:rPr>
              <w:t xml:space="preserve"> Advisory Board, strengthening our work with MDLZ in Ghana</w:t>
            </w:r>
            <w:r w:rsidR="00A47BB5" w:rsidRPr="00562605">
              <w:rPr>
                <w:rFonts w:ascii="Myriad Pro" w:hAnsi="Myriad Pro"/>
                <w:sz w:val="20"/>
                <w:szCs w:val="16"/>
                <w:shd w:val="clear" w:color="auto" w:fill="E0E0E0"/>
              </w:rPr>
              <w:t xml:space="preserve"> and </w:t>
            </w:r>
            <w:r w:rsidRPr="00562605">
              <w:rPr>
                <w:rFonts w:ascii="Myriad Pro" w:hAnsi="Myriad Pro"/>
                <w:sz w:val="20"/>
                <w:szCs w:val="16"/>
                <w:shd w:val="clear" w:color="auto" w:fill="E0E0E0"/>
              </w:rPr>
              <w:t>Cote D’Ivoire</w:t>
            </w:r>
            <w:r w:rsidR="00A47BB5" w:rsidRPr="00562605">
              <w:rPr>
                <w:rFonts w:ascii="Myriad Pro" w:hAnsi="Myriad Pro"/>
                <w:sz w:val="20"/>
                <w:szCs w:val="16"/>
                <w:shd w:val="clear" w:color="auto" w:fill="E0E0E0"/>
              </w:rPr>
              <w:t xml:space="preserve">. </w:t>
            </w:r>
          </w:p>
          <w:p w14:paraId="47F227AB" w14:textId="01F14AFB" w:rsidR="00A47BB5" w:rsidRPr="00562605" w:rsidRDefault="00A47BB5"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GCP strengthened existing relationships with Cargill</w:t>
            </w:r>
            <w:r w:rsidR="00A4707A" w:rsidRPr="00562605">
              <w:rPr>
                <w:rFonts w:ascii="Myriad Pro" w:hAnsi="Myriad Pro"/>
                <w:sz w:val="20"/>
                <w:szCs w:val="16"/>
                <w:shd w:val="clear" w:color="auto" w:fill="E0E0E0"/>
              </w:rPr>
              <w:t xml:space="preserve">, Mars, Tesco, and Unilever. Newer relationships with McDonalds, Olam, and PepsiCo were also strengthened. </w:t>
            </w:r>
          </w:p>
          <w:p w14:paraId="39591DC2" w14:textId="6F0C7E69" w:rsidR="00AE6360" w:rsidRPr="00562605" w:rsidRDefault="00AE636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continued to grow its positive working relationships with </w:t>
            </w:r>
            <w:proofErr w:type="spellStart"/>
            <w:r w:rsidR="00A47BB5" w:rsidRPr="00562605">
              <w:rPr>
                <w:rFonts w:ascii="Myriad Pro" w:hAnsi="Myriad Pro"/>
                <w:sz w:val="20"/>
                <w:szCs w:val="16"/>
                <w:shd w:val="clear" w:color="auto" w:fill="E0E0E0"/>
              </w:rPr>
              <w:t>Neuland</w:t>
            </w:r>
            <w:proofErr w:type="spellEnd"/>
            <w:r w:rsidR="00A47BB5" w:rsidRPr="00562605">
              <w:rPr>
                <w:rFonts w:ascii="Myriad Pro" w:hAnsi="Myriad Pro"/>
                <w:sz w:val="20"/>
                <w:szCs w:val="16"/>
                <w:shd w:val="clear" w:color="auto" w:fill="E0E0E0"/>
              </w:rPr>
              <w:t xml:space="preserve">, </w:t>
            </w:r>
            <w:proofErr w:type="spellStart"/>
            <w:r w:rsidR="00A47BB5" w:rsidRPr="00562605">
              <w:rPr>
                <w:rFonts w:ascii="Myriad Pro" w:hAnsi="Myriad Pro"/>
                <w:sz w:val="20"/>
                <w:szCs w:val="16"/>
                <w:shd w:val="clear" w:color="auto" w:fill="E0E0E0"/>
              </w:rPr>
              <w:t>Fernheim</w:t>
            </w:r>
            <w:proofErr w:type="spellEnd"/>
            <w:r w:rsidR="00A47BB5" w:rsidRPr="00562605">
              <w:rPr>
                <w:rFonts w:ascii="Myriad Pro" w:hAnsi="Myriad Pro"/>
                <w:sz w:val="20"/>
                <w:szCs w:val="16"/>
                <w:shd w:val="clear" w:color="auto" w:fill="E0E0E0"/>
              </w:rPr>
              <w:t xml:space="preserve">, </w:t>
            </w:r>
            <w:r w:rsidRPr="00562605">
              <w:rPr>
                <w:rFonts w:ascii="Myriad Pro" w:hAnsi="Myriad Pro"/>
                <w:sz w:val="20"/>
                <w:szCs w:val="16"/>
                <w:shd w:val="clear" w:color="auto" w:fill="E0E0E0"/>
              </w:rPr>
              <w:t>ADM</w:t>
            </w:r>
            <w:r w:rsidR="00A47BB5" w:rsidRPr="00562605">
              <w:rPr>
                <w:rFonts w:ascii="Myriad Pro" w:hAnsi="Myriad Pro"/>
                <w:sz w:val="20"/>
                <w:szCs w:val="16"/>
                <w:shd w:val="clear" w:color="auto" w:fill="E0E0E0"/>
              </w:rPr>
              <w:t xml:space="preserve"> and</w:t>
            </w:r>
            <w:r w:rsidRPr="00562605">
              <w:rPr>
                <w:rFonts w:ascii="Myriad Pro" w:hAnsi="Myriad Pro"/>
                <w:sz w:val="20"/>
                <w:szCs w:val="16"/>
                <w:shd w:val="clear" w:color="auto" w:fill="E0E0E0"/>
              </w:rPr>
              <w:t xml:space="preserve"> Cargill</w:t>
            </w:r>
            <w:r w:rsidR="00A47BB5" w:rsidRPr="00562605">
              <w:rPr>
                <w:rFonts w:ascii="Myriad Pro" w:hAnsi="Myriad Pro"/>
                <w:sz w:val="20"/>
                <w:szCs w:val="16"/>
                <w:shd w:val="clear" w:color="auto" w:fill="E0E0E0"/>
              </w:rPr>
              <w:t xml:space="preserve"> in Paraguay and with Sime Darby in Liberia and PNG. </w:t>
            </w:r>
          </w:p>
          <w:p w14:paraId="33AB16E2" w14:textId="124BBDE5" w:rsidR="00AE6360" w:rsidRPr="00562605" w:rsidRDefault="00AE6360" w:rsidP="00A4707A">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established new contacts with </w:t>
            </w:r>
            <w:proofErr w:type="spellStart"/>
            <w:r w:rsidR="00A47BB5" w:rsidRPr="00562605">
              <w:rPr>
                <w:rFonts w:ascii="Myriad Pro" w:hAnsi="Myriad Pro"/>
                <w:sz w:val="20"/>
                <w:szCs w:val="16"/>
                <w:shd w:val="clear" w:color="auto" w:fill="E0E0E0"/>
              </w:rPr>
              <w:t>Hargy</w:t>
            </w:r>
            <w:proofErr w:type="spellEnd"/>
            <w:r w:rsidR="00A47BB5" w:rsidRPr="00562605">
              <w:rPr>
                <w:rFonts w:ascii="Myriad Pro" w:hAnsi="Myriad Pro"/>
                <w:sz w:val="20"/>
                <w:szCs w:val="16"/>
                <w:shd w:val="clear" w:color="auto" w:fill="E0E0E0"/>
              </w:rPr>
              <w:t xml:space="preserve"> in Papua New Guinea and is exploring new partnership opportunities with Unilever and PepsiCo in Indonesia. </w:t>
            </w:r>
            <w:r w:rsidR="00A4707A" w:rsidRPr="00562605">
              <w:rPr>
                <w:rFonts w:ascii="Myriad Pro" w:hAnsi="Myriad Pro"/>
                <w:sz w:val="20"/>
                <w:szCs w:val="16"/>
                <w:shd w:val="clear" w:color="auto" w:fill="E0E0E0"/>
              </w:rPr>
              <w:t xml:space="preserve">A new relationship was </w:t>
            </w:r>
            <w:proofErr w:type="gramStart"/>
            <w:r w:rsidR="00A4707A" w:rsidRPr="00562605">
              <w:rPr>
                <w:rFonts w:ascii="Myriad Pro" w:hAnsi="Myriad Pro"/>
                <w:sz w:val="20"/>
                <w:szCs w:val="16"/>
                <w:shd w:val="clear" w:color="auto" w:fill="E0E0E0"/>
              </w:rPr>
              <w:t>establish</w:t>
            </w:r>
            <w:proofErr w:type="gramEnd"/>
            <w:r w:rsidR="00A4707A" w:rsidRPr="00562605">
              <w:rPr>
                <w:rFonts w:ascii="Myriad Pro" w:hAnsi="Myriad Pro"/>
                <w:sz w:val="20"/>
                <w:szCs w:val="16"/>
                <w:shd w:val="clear" w:color="auto" w:fill="E0E0E0"/>
              </w:rPr>
              <w:t xml:space="preserve"> with </w:t>
            </w:r>
            <w:proofErr w:type="spellStart"/>
            <w:r w:rsidR="00A4707A" w:rsidRPr="00562605">
              <w:rPr>
                <w:rFonts w:ascii="Myriad Pro" w:hAnsi="Myriad Pro"/>
                <w:sz w:val="20"/>
                <w:szCs w:val="16"/>
                <w:shd w:val="clear" w:color="auto" w:fill="E0E0E0"/>
              </w:rPr>
              <w:t>Kering</w:t>
            </w:r>
            <w:proofErr w:type="spellEnd"/>
            <w:r w:rsidR="00A4707A" w:rsidRPr="00562605">
              <w:rPr>
                <w:rFonts w:ascii="Myriad Pro" w:hAnsi="Myriad Pro"/>
                <w:sz w:val="20"/>
                <w:szCs w:val="16"/>
                <w:shd w:val="clear" w:color="auto" w:fill="E0E0E0"/>
              </w:rPr>
              <w:t xml:space="preserve"> related to Mongolia work. </w:t>
            </w:r>
          </w:p>
        </w:tc>
      </w:tr>
      <w:tr w:rsidR="00AE6360" w:rsidRPr="00C5101B" w14:paraId="6B7F7E4C" w14:textId="77777777" w:rsidTr="00AE6360">
        <w:tc>
          <w:tcPr>
            <w:tcW w:w="1947" w:type="dxa"/>
            <w:tcBorders>
              <w:left w:val="single" w:sz="12" w:space="0" w:color="auto"/>
            </w:tcBorders>
            <w:shd w:val="clear" w:color="auto" w:fill="BFBFBF" w:themeFill="background1" w:themeFillShade="BF"/>
            <w:vAlign w:val="center"/>
          </w:tcPr>
          <w:p w14:paraId="3483F49F" w14:textId="52FC61E1"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Pr>
                <w:rFonts w:ascii="Myriad Pro" w:hAnsi="Myriad Pro"/>
                <w:b/>
                <w:sz w:val="18"/>
                <w:szCs w:val="18"/>
                <w:shd w:val="clear" w:color="auto" w:fill="E0E0E0"/>
                <w:lang w:val="es-PA"/>
              </w:rPr>
              <w:t>5</w:t>
            </w:r>
          </w:p>
        </w:tc>
        <w:tc>
          <w:tcPr>
            <w:tcW w:w="3001" w:type="dxa"/>
            <w:gridSpan w:val="2"/>
            <w:shd w:val="clear" w:color="auto" w:fill="BFBFBF" w:themeFill="background1" w:themeFillShade="BF"/>
            <w:vAlign w:val="center"/>
          </w:tcPr>
          <w:p w14:paraId="454C43D0" w14:textId="1A3E276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19D26A6A" w14:textId="5D7A2CC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384934E8" w14:textId="33149507" w:rsidR="00AE6360" w:rsidRPr="000616C1" w:rsidRDefault="00AE6360"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587432F4" w14:textId="77777777" w:rsidTr="00AE6360">
        <w:tc>
          <w:tcPr>
            <w:tcW w:w="1947" w:type="dxa"/>
            <w:tcBorders>
              <w:left w:val="single" w:sz="12" w:space="0" w:color="auto"/>
            </w:tcBorders>
            <w:vAlign w:val="center"/>
          </w:tcPr>
          <w:p w14:paraId="1E36CF36" w14:textId="0A124DEB" w:rsidR="00AE6360"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sz w:val="20"/>
                <w:szCs w:val="16"/>
                <w:shd w:val="clear" w:color="auto" w:fill="E0E0E0"/>
                <w:lang w:val="es-PA"/>
              </w:rPr>
              <w:t>Global Debate and Policy</w:t>
            </w:r>
          </w:p>
        </w:tc>
        <w:tc>
          <w:tcPr>
            <w:tcW w:w="3001" w:type="dxa"/>
            <w:gridSpan w:val="2"/>
            <w:vAlign w:val="center"/>
          </w:tcPr>
          <w:p w14:paraId="23F1B4C7" w14:textId="77777777" w:rsidR="00AE6360" w:rsidRPr="00562605" w:rsidRDefault="00AE6360" w:rsidP="00AE6360">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Participate in identified relevant international events (conferences, workshops etc.)</w:t>
            </w:r>
          </w:p>
          <w:p w14:paraId="37B81612" w14:textId="0AB0F815" w:rsidR="00AE6360" w:rsidRPr="00562605" w:rsidRDefault="00AE6360" w:rsidP="00AE6360">
            <w:pPr>
              <w:pStyle w:val="ListParagraph"/>
              <w:numPr>
                <w:ilvl w:val="0"/>
                <w:numId w:val="28"/>
              </w:numPr>
              <w:spacing w:before="60"/>
              <w:ind w:left="94" w:hanging="153"/>
              <w:rPr>
                <w:rFonts w:ascii="Myriad Pro" w:hAnsi="Myriad Pro"/>
                <w:b/>
                <w:sz w:val="18"/>
                <w:szCs w:val="18"/>
                <w:shd w:val="clear" w:color="auto" w:fill="E0E0E0"/>
              </w:rPr>
            </w:pPr>
            <w:r w:rsidRPr="00562605">
              <w:rPr>
                <w:rFonts w:ascii="Myriad Pro" w:hAnsi="Myriad Pro"/>
                <w:sz w:val="20"/>
                <w:szCs w:val="16"/>
                <w:shd w:val="clear" w:color="auto" w:fill="E0E0E0"/>
              </w:rPr>
              <w:t>Develop capacity of national and global teams to influence debate and policy</w:t>
            </w:r>
          </w:p>
        </w:tc>
        <w:tc>
          <w:tcPr>
            <w:tcW w:w="2845" w:type="dxa"/>
            <w:gridSpan w:val="2"/>
            <w:vAlign w:val="center"/>
          </w:tcPr>
          <w:p w14:paraId="2C338702" w14:textId="6DDFBFCB" w:rsidR="00AE6360" w:rsidRPr="00562605" w:rsidRDefault="00C130E4" w:rsidP="00C130E4">
            <w:pPr>
              <w:tabs>
                <w:tab w:val="left" w:pos="4680"/>
              </w:tabs>
              <w:jc w:val="left"/>
              <w:rPr>
                <w:rFonts w:ascii="Myriad Pro" w:hAnsi="Myriad Pro"/>
                <w:b/>
                <w:sz w:val="18"/>
                <w:szCs w:val="18"/>
                <w:shd w:val="clear" w:color="auto" w:fill="E0E0E0"/>
                <w:lang w:val="en-US"/>
              </w:rPr>
            </w:pPr>
            <w:r w:rsidRPr="00562605">
              <w:rPr>
                <w:rFonts w:ascii="Myriad Pro" w:hAnsi="Myriad Pro"/>
                <w:sz w:val="20"/>
                <w:szCs w:val="16"/>
                <w:shd w:val="clear" w:color="auto" w:fill="E0E0E0"/>
                <w:lang w:val="en-US"/>
              </w:rPr>
              <w:t xml:space="preserve">This project is an umbrella </w:t>
            </w:r>
            <w:proofErr w:type="spellStart"/>
            <w:r w:rsidRPr="00562605">
              <w:rPr>
                <w:rFonts w:ascii="Myriad Pro" w:hAnsi="Myriad Pro"/>
                <w:sz w:val="20"/>
                <w:szCs w:val="16"/>
                <w:shd w:val="clear" w:color="auto" w:fill="E0E0E0"/>
                <w:lang w:val="en-US"/>
              </w:rPr>
              <w:t>programme</w:t>
            </w:r>
            <w:proofErr w:type="spellEnd"/>
            <w:r w:rsidRPr="00562605">
              <w:rPr>
                <w:rFonts w:ascii="Myriad Pro" w:hAnsi="Myriad Pro"/>
                <w:sz w:val="20"/>
                <w:szCs w:val="16"/>
                <w:shd w:val="clear" w:color="auto" w:fill="E0E0E0"/>
                <w:lang w:val="en-US"/>
              </w:rPr>
              <w:t xml:space="preserve"> for several child projects, so there is no </w:t>
            </w:r>
            <w:proofErr w:type="spellStart"/>
            <w:r w:rsidRPr="00562605">
              <w:rPr>
                <w:rFonts w:ascii="Myriad Pro" w:hAnsi="Myriad Pro"/>
                <w:sz w:val="20"/>
                <w:szCs w:val="16"/>
                <w:shd w:val="clear" w:color="auto" w:fill="E0E0E0"/>
                <w:lang w:val="en-US"/>
              </w:rPr>
              <w:t>ProDoc</w:t>
            </w:r>
            <w:proofErr w:type="spellEnd"/>
            <w:r w:rsidRPr="00562605">
              <w:rPr>
                <w:rFonts w:ascii="Myriad Pro" w:hAnsi="Myriad Pro"/>
                <w:sz w:val="20"/>
                <w:szCs w:val="16"/>
                <w:shd w:val="clear" w:color="auto" w:fill="E0E0E0"/>
                <w:lang w:val="en-US"/>
              </w:rPr>
              <w:t xml:space="preserve"> nor specific indicators to measure progress against. Activity results for 2017 are described in the comments section below.</w:t>
            </w:r>
          </w:p>
        </w:tc>
        <w:tc>
          <w:tcPr>
            <w:tcW w:w="1949" w:type="dxa"/>
            <w:tcBorders>
              <w:right w:val="single" w:sz="12" w:space="0" w:color="auto"/>
            </w:tcBorders>
            <w:vAlign w:val="center"/>
          </w:tcPr>
          <w:p w14:paraId="18FEDC8F" w14:textId="77777777" w:rsidR="00AE6360" w:rsidRPr="00A47BB5" w:rsidRDefault="00AE6360" w:rsidP="00E63423">
            <w:pPr>
              <w:tabs>
                <w:tab w:val="left" w:pos="4680"/>
              </w:tabs>
              <w:jc w:val="center"/>
              <w:rPr>
                <w:rFonts w:ascii="Myriad Pro" w:hAnsi="Myriad Pro"/>
                <w:sz w:val="18"/>
                <w:szCs w:val="18"/>
                <w:shd w:val="clear" w:color="auto" w:fill="E0E0E0"/>
                <w:lang w:val="es-PA"/>
              </w:rPr>
            </w:pPr>
            <w:r w:rsidRPr="00A47BB5">
              <w:rPr>
                <w:rFonts w:ascii="Myriad Pro" w:hAnsi="Myriad Pro"/>
                <w:sz w:val="18"/>
                <w:szCs w:val="18"/>
                <w:shd w:val="clear" w:color="auto" w:fill="E0E0E0"/>
                <w:lang w:val="es-PA"/>
              </w:rPr>
              <w:t>Q1-Q4</w:t>
            </w:r>
          </w:p>
          <w:p w14:paraId="4FCF22BB" w14:textId="04601093" w:rsidR="00AE6360" w:rsidRPr="00C5101B" w:rsidRDefault="00AE6360" w:rsidP="00E63423">
            <w:pPr>
              <w:tabs>
                <w:tab w:val="left" w:pos="4680"/>
              </w:tabs>
              <w:jc w:val="center"/>
              <w:rPr>
                <w:rFonts w:ascii="Myriad Pro" w:hAnsi="Myriad Pro"/>
                <w:b/>
                <w:sz w:val="18"/>
                <w:szCs w:val="18"/>
                <w:shd w:val="clear" w:color="auto" w:fill="E0E0E0"/>
                <w:lang w:val="es-PA"/>
              </w:rPr>
            </w:pPr>
            <w:r w:rsidRPr="00A47BB5">
              <w:rPr>
                <w:rFonts w:ascii="Myriad Pro" w:hAnsi="Myriad Pro"/>
                <w:sz w:val="18"/>
                <w:szCs w:val="18"/>
                <w:shd w:val="clear" w:color="auto" w:fill="E0E0E0"/>
                <w:lang w:val="es-PA"/>
              </w:rPr>
              <w:t>100</w:t>
            </w:r>
          </w:p>
        </w:tc>
      </w:tr>
      <w:tr w:rsidR="00AE6360" w:rsidRPr="00C5101B" w14:paraId="1CAC508F" w14:textId="77777777" w:rsidTr="00E63423">
        <w:tc>
          <w:tcPr>
            <w:tcW w:w="1947" w:type="dxa"/>
            <w:tcBorders>
              <w:left w:val="single" w:sz="12" w:space="0" w:color="auto"/>
              <w:bottom w:val="single" w:sz="12" w:space="0" w:color="auto"/>
            </w:tcBorders>
            <w:shd w:val="clear" w:color="auto" w:fill="C0C0C0"/>
            <w:vAlign w:val="center"/>
          </w:tcPr>
          <w:p w14:paraId="0A8A361F" w14:textId="4EDAF3E4" w:rsidR="00AE6360" w:rsidRPr="00C5101B"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041BCB4D" w14:textId="77777777" w:rsidR="00CF51D4" w:rsidRPr="00562605" w:rsidRDefault="00C130E4"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participated in the </w:t>
            </w:r>
            <w:r w:rsidR="00CF51D4" w:rsidRPr="00562605">
              <w:rPr>
                <w:rFonts w:ascii="Myriad Pro" w:hAnsi="Myriad Pro"/>
                <w:sz w:val="20"/>
                <w:szCs w:val="16"/>
                <w:shd w:val="clear" w:color="auto" w:fill="E0E0E0"/>
              </w:rPr>
              <w:t>World Cocoa Conference in Germany, International Conference on Oil Palm and the Environment in Bali, TFA2020 General Assembly in Ghana, 16th Annual Roundtable Conference on Sustainable Palm Oil in France, Amsterdam Declaration Partnership Multi-Stakeholder Meeting in France, Innovation Forum – “How business can make smallholder supply chains resilient” in the UK, Global Roundtable for Sustainable Beef in Ireland, Regional Sustainable Beef Workshop in Paraguay.</w:t>
            </w:r>
          </w:p>
          <w:p w14:paraId="16B65C67" w14:textId="3ECE6F5B" w:rsidR="00C130E4" w:rsidRPr="00562605" w:rsidRDefault="00CF51D4"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established a Forest Coordination group in February comprised of Natural Capital, EBD, REDD+, and NYDF for a better GCP integration in a new vision for nature-based solutions within the UNDP Strategic Plan. </w:t>
            </w:r>
          </w:p>
          <w:p w14:paraId="1092B946" w14:textId="2CEB4610" w:rsidR="003908BC" w:rsidRPr="00562605" w:rsidRDefault="003908BC"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finalized the guidance note on “Sustainable Commodities: ensuring smallholder benefits, better environmental management, and durable growth” in March, and hosted a UNDP webinar in June to promote the guidance note. </w:t>
            </w:r>
          </w:p>
          <w:p w14:paraId="58EBAD0D" w14:textId="45CE6F57" w:rsidR="003908BC" w:rsidRPr="00562605" w:rsidRDefault="003908BC"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developed a global flagship UNDP initiative “From </w:t>
            </w:r>
            <w:proofErr w:type="spellStart"/>
            <w:r w:rsidRPr="00562605">
              <w:rPr>
                <w:rFonts w:ascii="Myriad Pro" w:hAnsi="Myriad Pro"/>
                <w:sz w:val="20"/>
                <w:szCs w:val="16"/>
                <w:shd w:val="clear" w:color="auto" w:fill="E0E0E0"/>
              </w:rPr>
              <w:t>Committment</w:t>
            </w:r>
            <w:proofErr w:type="spellEnd"/>
            <w:r w:rsidRPr="00562605">
              <w:rPr>
                <w:rFonts w:ascii="Myriad Pro" w:hAnsi="Myriad Pro"/>
                <w:sz w:val="20"/>
                <w:szCs w:val="16"/>
                <w:shd w:val="clear" w:color="auto" w:fill="E0E0E0"/>
              </w:rPr>
              <w:t xml:space="preserve"> to Action” in November aimed at helping countries take stock of their current deforestation-related commitments and develop a roadmap for how to achieve them. </w:t>
            </w:r>
          </w:p>
          <w:p w14:paraId="1B92285C" w14:textId="5B2B11DC" w:rsidR="003908BC" w:rsidRDefault="003908BC"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chaired a meeting between the Indonesia </w:t>
            </w:r>
            <w:proofErr w:type="spellStart"/>
            <w:r w:rsidRPr="00562605">
              <w:rPr>
                <w:rFonts w:ascii="Myriad Pro" w:hAnsi="Myriad Pro"/>
                <w:sz w:val="20"/>
                <w:szCs w:val="16"/>
                <w:shd w:val="clear" w:color="auto" w:fill="E0E0E0"/>
              </w:rPr>
              <w:t>goverment</w:t>
            </w:r>
            <w:proofErr w:type="spellEnd"/>
            <w:r w:rsidRPr="00562605">
              <w:rPr>
                <w:rFonts w:ascii="Myriad Pro" w:hAnsi="Myriad Pro"/>
                <w:sz w:val="20"/>
                <w:szCs w:val="16"/>
                <w:shd w:val="clear" w:color="auto" w:fill="E0E0E0"/>
              </w:rPr>
              <w:t xml:space="preserve"> and the Amsterdam Declaration Partnership on sustainable palm oil in December in Brussels. </w:t>
            </w:r>
          </w:p>
          <w:p w14:paraId="1E591E75" w14:textId="792C0BD0" w:rsidR="00770889" w:rsidRPr="00562605" w:rsidRDefault="00770889" w:rsidP="00CF51D4">
            <w:pPr>
              <w:pStyle w:val="ListParagraph"/>
              <w:numPr>
                <w:ilvl w:val="0"/>
                <w:numId w:val="28"/>
              </w:numPr>
              <w:spacing w:before="60"/>
              <w:ind w:left="94" w:hanging="153"/>
              <w:rPr>
                <w:rFonts w:ascii="Myriad Pro" w:hAnsi="Myriad Pro"/>
                <w:sz w:val="20"/>
                <w:szCs w:val="16"/>
                <w:shd w:val="clear" w:color="auto" w:fill="E0E0E0"/>
              </w:rPr>
            </w:pPr>
            <w:r>
              <w:rPr>
                <w:rFonts w:ascii="Myriad Pro" w:hAnsi="Myriad Pro"/>
                <w:sz w:val="20"/>
                <w:szCs w:val="16"/>
                <w:shd w:val="clear" w:color="auto" w:fill="E0E0E0"/>
              </w:rPr>
              <w:t xml:space="preserve">GCP has engaged with </w:t>
            </w:r>
            <w:proofErr w:type="spellStart"/>
            <w:r>
              <w:rPr>
                <w:rFonts w:ascii="Myriad Pro" w:hAnsi="Myriad Pro"/>
                <w:sz w:val="20"/>
                <w:szCs w:val="16"/>
                <w:shd w:val="clear" w:color="auto" w:fill="E0E0E0"/>
              </w:rPr>
              <w:t>Solidaridad’s</w:t>
            </w:r>
            <w:proofErr w:type="spellEnd"/>
            <w:r>
              <w:rPr>
                <w:rFonts w:ascii="Myriad Pro" w:hAnsi="Myriad Pro"/>
                <w:sz w:val="20"/>
                <w:szCs w:val="16"/>
                <w:shd w:val="clear" w:color="auto" w:fill="E0E0E0"/>
              </w:rPr>
              <w:t xml:space="preserve"> Women in Cocoa and Chocolate Network and Mondelez’s </w:t>
            </w:r>
            <w:proofErr w:type="spellStart"/>
            <w:r>
              <w:rPr>
                <w:rFonts w:ascii="Myriad Pro" w:hAnsi="Myriad Pro"/>
                <w:sz w:val="20"/>
                <w:szCs w:val="16"/>
                <w:shd w:val="clear" w:color="auto" w:fill="E0E0E0"/>
              </w:rPr>
              <w:t>CocoaLife</w:t>
            </w:r>
            <w:proofErr w:type="spellEnd"/>
            <w:r>
              <w:rPr>
                <w:rFonts w:ascii="Myriad Pro" w:hAnsi="Myriad Pro"/>
                <w:sz w:val="20"/>
                <w:szCs w:val="16"/>
                <w:shd w:val="clear" w:color="auto" w:fill="E0E0E0"/>
              </w:rPr>
              <w:t xml:space="preserve"> program on collaborative approaches to gender mainstreaming and women’s empowerment, as well as with the UNDP-GEF Global ABS </w:t>
            </w:r>
            <w:r w:rsidR="001B2442">
              <w:rPr>
                <w:rFonts w:ascii="Myriad Pro" w:hAnsi="Myriad Pro"/>
                <w:sz w:val="20"/>
                <w:szCs w:val="16"/>
                <w:shd w:val="clear" w:color="auto" w:fill="E0E0E0"/>
              </w:rPr>
              <w:t xml:space="preserve">project on gender and access and benefit sharing for commodities. </w:t>
            </w:r>
          </w:p>
          <w:p w14:paraId="27DAAAC2" w14:textId="7DC3A863" w:rsidR="00E63E76" w:rsidRPr="00562605" w:rsidRDefault="00C130E4"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w:t>
            </w:r>
            <w:r w:rsidR="00E63E76" w:rsidRPr="00562605">
              <w:rPr>
                <w:rFonts w:ascii="Myriad Pro" w:hAnsi="Myriad Pro"/>
                <w:sz w:val="20"/>
                <w:szCs w:val="16"/>
                <w:shd w:val="clear" w:color="auto" w:fill="E0E0E0"/>
              </w:rPr>
              <w:t>worked closely with</w:t>
            </w:r>
            <w:r w:rsidRPr="00562605">
              <w:rPr>
                <w:rFonts w:ascii="Myriad Pro" w:hAnsi="Myriad Pro"/>
                <w:sz w:val="20"/>
                <w:szCs w:val="16"/>
                <w:shd w:val="clear" w:color="auto" w:fill="E0E0E0"/>
              </w:rPr>
              <w:t xml:space="preserve"> national teams in Indonesia, Peru, Costa Rica, </w:t>
            </w:r>
            <w:r w:rsidR="00E63E76" w:rsidRPr="00562605">
              <w:rPr>
                <w:rFonts w:ascii="Myriad Pro" w:hAnsi="Myriad Pro"/>
                <w:sz w:val="20"/>
                <w:szCs w:val="16"/>
                <w:shd w:val="clear" w:color="auto" w:fill="E0E0E0"/>
              </w:rPr>
              <w:t xml:space="preserve">and </w:t>
            </w:r>
            <w:r w:rsidRPr="00562605">
              <w:rPr>
                <w:rFonts w:ascii="Myriad Pro" w:hAnsi="Myriad Pro"/>
                <w:sz w:val="20"/>
                <w:szCs w:val="16"/>
                <w:shd w:val="clear" w:color="auto" w:fill="E0E0E0"/>
              </w:rPr>
              <w:t xml:space="preserve">Paraguay to </w:t>
            </w:r>
            <w:r w:rsidR="00E63E76" w:rsidRPr="00562605">
              <w:rPr>
                <w:rFonts w:ascii="Myriad Pro" w:hAnsi="Myriad Pro"/>
                <w:sz w:val="20"/>
                <w:szCs w:val="16"/>
                <w:shd w:val="clear" w:color="auto" w:fill="E0E0E0"/>
              </w:rPr>
              <w:t xml:space="preserve">produce 4 blogs for the GCP website and 1 impact story article that has been published in 2 international newspapers as well as the UNDP Global and Regional websites and the UNDP Global and Regional newsletter. </w:t>
            </w:r>
          </w:p>
          <w:p w14:paraId="3D6B0EE8" w14:textId="65C23E31" w:rsidR="00C130E4" w:rsidRPr="00562605" w:rsidRDefault="00E63E76"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lastRenderedPageBreak/>
              <w:t xml:space="preserve">GCP supported country teams to </w:t>
            </w:r>
            <w:r w:rsidR="00C130E4" w:rsidRPr="00562605">
              <w:rPr>
                <w:rFonts w:ascii="Myriad Pro" w:hAnsi="Myriad Pro"/>
                <w:sz w:val="20"/>
                <w:szCs w:val="16"/>
                <w:shd w:val="clear" w:color="auto" w:fill="E0E0E0"/>
              </w:rPr>
              <w:t>amplify their media outreach activities around key milestones and/or events</w:t>
            </w:r>
            <w:r w:rsidRPr="00562605">
              <w:rPr>
                <w:rFonts w:ascii="Myriad Pro" w:hAnsi="Myriad Pro"/>
                <w:sz w:val="20"/>
                <w:szCs w:val="16"/>
                <w:shd w:val="clear" w:color="auto" w:fill="E0E0E0"/>
              </w:rPr>
              <w:t xml:space="preserve">, including the launch of Costa Rica’s National Action Plan for fisheries of large pelagic species such as tuna, swordfish, and mahi </w:t>
            </w:r>
            <w:proofErr w:type="spellStart"/>
            <w:r w:rsidRPr="00562605">
              <w:rPr>
                <w:rFonts w:ascii="Myriad Pro" w:hAnsi="Myriad Pro"/>
                <w:sz w:val="20"/>
                <w:szCs w:val="16"/>
                <w:shd w:val="clear" w:color="auto" w:fill="E0E0E0"/>
              </w:rPr>
              <w:t>mahi</w:t>
            </w:r>
            <w:proofErr w:type="spellEnd"/>
            <w:r w:rsidRPr="00562605">
              <w:rPr>
                <w:rFonts w:ascii="Myriad Pro" w:hAnsi="Myriad Pro"/>
                <w:sz w:val="20"/>
                <w:szCs w:val="16"/>
                <w:shd w:val="clear" w:color="auto" w:fill="E0E0E0"/>
              </w:rPr>
              <w:t xml:space="preserve">, and the launch of Peru’s National Coffee Action Plan 2018-2030 with the aim of promoting the coffee sector’s growth through increased productivity based on sustainable production systems. </w:t>
            </w:r>
          </w:p>
          <w:p w14:paraId="7970CE43" w14:textId="1359493E" w:rsidR="00F145EF" w:rsidRPr="00562605" w:rsidRDefault="00F145EF"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produced a new Communications Action Plan in 2018 for 2019, with a focus on how to use the 10th </w:t>
            </w:r>
            <w:r w:rsidR="00E63E76" w:rsidRPr="00562605">
              <w:rPr>
                <w:rFonts w:ascii="Myriad Pro" w:hAnsi="Myriad Pro"/>
                <w:sz w:val="20"/>
                <w:szCs w:val="16"/>
                <w:shd w:val="clear" w:color="auto" w:fill="E0E0E0"/>
              </w:rPr>
              <w:t xml:space="preserve">anniversary of the Green Commodities </w:t>
            </w:r>
            <w:proofErr w:type="spellStart"/>
            <w:r w:rsidR="00E63E76" w:rsidRPr="00562605">
              <w:rPr>
                <w:rFonts w:ascii="Myriad Pro" w:hAnsi="Myriad Pro"/>
                <w:sz w:val="20"/>
                <w:szCs w:val="16"/>
                <w:shd w:val="clear" w:color="auto" w:fill="E0E0E0"/>
              </w:rPr>
              <w:t>Programme</w:t>
            </w:r>
            <w:proofErr w:type="spellEnd"/>
            <w:r w:rsidR="00E63E76" w:rsidRPr="00562605">
              <w:rPr>
                <w:rFonts w:ascii="Myriad Pro" w:hAnsi="Myriad Pro"/>
                <w:sz w:val="20"/>
                <w:szCs w:val="16"/>
                <w:shd w:val="clear" w:color="auto" w:fill="E0E0E0"/>
              </w:rPr>
              <w:t xml:space="preserve"> to build on its existing perception and emphasize it distinctive approach to multi-stakeholder collaboration for systemic change. </w:t>
            </w:r>
            <w:proofErr w:type="spellStart"/>
            <w:r w:rsidR="00E63E76" w:rsidRPr="00562605">
              <w:rPr>
                <w:rFonts w:ascii="Myriad Pro" w:hAnsi="Myriad Pro"/>
                <w:sz w:val="20"/>
                <w:szCs w:val="16"/>
                <w:shd w:val="clear" w:color="auto" w:fill="E0E0E0"/>
              </w:rPr>
              <w:t>Inovations</w:t>
            </w:r>
            <w:proofErr w:type="spellEnd"/>
            <w:r w:rsidR="00E63E76" w:rsidRPr="00562605">
              <w:rPr>
                <w:rFonts w:ascii="Myriad Pro" w:hAnsi="Myriad Pro"/>
                <w:sz w:val="20"/>
                <w:szCs w:val="16"/>
                <w:shd w:val="clear" w:color="auto" w:fill="E0E0E0"/>
              </w:rPr>
              <w:t xml:space="preserve"> include “Country At-a-Glance” briefing packs covering all the countries where GCP works, increased use of video, and a more sophisticated approach to gathering audience for conferences and the GCC online learning </w:t>
            </w:r>
            <w:proofErr w:type="spellStart"/>
            <w:r w:rsidR="00E63E76" w:rsidRPr="00562605">
              <w:rPr>
                <w:rFonts w:ascii="Myriad Pro" w:hAnsi="Myriad Pro"/>
                <w:sz w:val="20"/>
                <w:szCs w:val="16"/>
                <w:shd w:val="clear" w:color="auto" w:fill="E0E0E0"/>
              </w:rPr>
              <w:t>programme</w:t>
            </w:r>
            <w:proofErr w:type="spellEnd"/>
            <w:r w:rsidR="00E63E76" w:rsidRPr="00562605">
              <w:rPr>
                <w:rFonts w:ascii="Myriad Pro" w:hAnsi="Myriad Pro"/>
                <w:sz w:val="20"/>
                <w:szCs w:val="16"/>
                <w:shd w:val="clear" w:color="auto" w:fill="E0E0E0"/>
              </w:rPr>
              <w:t xml:space="preserve">. </w:t>
            </w:r>
          </w:p>
          <w:p w14:paraId="4F27A954" w14:textId="44C37530" w:rsidR="00C130E4" w:rsidRPr="00562605" w:rsidRDefault="00C130E4" w:rsidP="00CF51D4">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GCP </w:t>
            </w:r>
            <w:r w:rsidR="00C54D6C" w:rsidRPr="00562605">
              <w:rPr>
                <w:rFonts w:ascii="Myriad Pro" w:hAnsi="Myriad Pro"/>
                <w:sz w:val="20"/>
                <w:szCs w:val="16"/>
                <w:shd w:val="clear" w:color="auto" w:fill="E0E0E0"/>
              </w:rPr>
              <w:t>hosted and led</w:t>
            </w:r>
            <w:r w:rsidRPr="00562605">
              <w:rPr>
                <w:rFonts w:ascii="Myriad Pro" w:hAnsi="Myriad Pro"/>
                <w:sz w:val="20"/>
                <w:szCs w:val="16"/>
                <w:shd w:val="clear" w:color="auto" w:fill="E0E0E0"/>
              </w:rPr>
              <w:t xml:space="preserve"> </w:t>
            </w:r>
            <w:r w:rsidR="00C54D6C" w:rsidRPr="00562605">
              <w:rPr>
                <w:rFonts w:ascii="Myriad Pro" w:hAnsi="Myriad Pro"/>
                <w:sz w:val="20"/>
                <w:szCs w:val="16"/>
                <w:shd w:val="clear" w:color="auto" w:fill="E0E0E0"/>
              </w:rPr>
              <w:t xml:space="preserve">the GCC Communications learning stream, through which the GCP communications staff and the in-country Communications Officers developed their professional skills. The learning stream included 3 virtual workshops covering strategic, internal and external challenges identified by members of the group, which grew to 42 members throughout the year. </w:t>
            </w:r>
          </w:p>
          <w:p w14:paraId="734AEE7E" w14:textId="3C165F95" w:rsidR="00AE6360" w:rsidRPr="00562605" w:rsidRDefault="00C54D6C" w:rsidP="00C54D6C">
            <w:pPr>
              <w:pStyle w:val="ListParagraph"/>
              <w:numPr>
                <w:ilvl w:val="0"/>
                <w:numId w:val="28"/>
              </w:numPr>
              <w:spacing w:before="60"/>
              <w:ind w:left="94" w:hanging="153"/>
              <w:rPr>
                <w:rFonts w:ascii="Myriad Pro" w:hAnsi="Myriad Pro"/>
                <w:sz w:val="20"/>
                <w:szCs w:val="16"/>
                <w:shd w:val="clear" w:color="auto" w:fill="E0E0E0"/>
              </w:rPr>
            </w:pPr>
            <w:r w:rsidRPr="00562605">
              <w:rPr>
                <w:rFonts w:ascii="Myriad Pro" w:hAnsi="Myriad Pro"/>
                <w:sz w:val="20"/>
                <w:szCs w:val="16"/>
                <w:shd w:val="clear" w:color="auto" w:fill="E0E0E0"/>
              </w:rPr>
              <w:t xml:space="preserve">The GCP website was renewed and relaunched in alignment with UNDP guidelines, and a new interactive country &amp; commodity map was produced. Content was updated throughout the year, including multimedia content such as interviews and webinar sessions. GCP’s twitter was regularly maintained and updated, and GCP saw followers growing from 770 to 1.086 in 2018. GCP expanded its master Newsletter mailing list to 1.260 contacts and the quarterly Highlights newsletter continued to promote GCP activities to a broad range of stakeholders. </w:t>
            </w:r>
          </w:p>
        </w:tc>
      </w:tr>
      <w:tr w:rsidR="001A1AFB" w:rsidRPr="001A1AFB" w14:paraId="3FE7FFA9" w14:textId="77777777" w:rsidTr="00E63423">
        <w:trPr>
          <w:trHeight w:val="364"/>
        </w:trPr>
        <w:tc>
          <w:tcPr>
            <w:tcW w:w="3895" w:type="dxa"/>
            <w:gridSpan w:val="2"/>
            <w:vMerge w:val="restart"/>
            <w:tcBorders>
              <w:top w:val="thinThickThinSmallGap" w:sz="24" w:space="0" w:color="auto"/>
              <w:left w:val="single" w:sz="12" w:space="0" w:color="auto"/>
              <w:right w:val="single" w:sz="12" w:space="0" w:color="auto"/>
            </w:tcBorders>
            <w:shd w:val="clear" w:color="auto" w:fill="C0C0C0"/>
            <w:vAlign w:val="center"/>
          </w:tcPr>
          <w:p w14:paraId="199B504C" w14:textId="742A26B5" w:rsidR="00AE6360" w:rsidRPr="001A1AFB" w:rsidRDefault="00AE6360" w:rsidP="00E63423">
            <w:pPr>
              <w:tabs>
                <w:tab w:val="left" w:pos="4680"/>
              </w:tabs>
              <w:jc w:val="left"/>
              <w:rPr>
                <w:rFonts w:ascii="Myriad Pro" w:hAnsi="Myriad Pro"/>
                <w:sz w:val="16"/>
                <w:szCs w:val="16"/>
                <w:shd w:val="clear" w:color="auto" w:fill="E0E0E0"/>
                <w:lang w:val="es-PA"/>
              </w:rPr>
            </w:pPr>
            <w:r w:rsidRPr="001A1AFB">
              <w:rPr>
                <w:rFonts w:ascii="Myriad Pro" w:hAnsi="Myriad Pro"/>
                <w:b/>
                <w:sz w:val="16"/>
                <w:szCs w:val="16"/>
                <w:shd w:val="clear" w:color="auto" w:fill="E0E0E0"/>
                <w:lang w:val="es-PA"/>
              </w:rPr>
              <w:lastRenderedPageBreak/>
              <w:t>% of achievement Product 1</w:t>
            </w:r>
          </w:p>
          <w:p w14:paraId="76643EFC" w14:textId="77777777" w:rsidR="00AE6360" w:rsidRPr="001A1AF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7ED13F68" w14:textId="2B295B7A"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b/>
                <w:sz w:val="18"/>
                <w:szCs w:val="18"/>
                <w:shd w:val="clear" w:color="auto" w:fill="E0E0E0"/>
                <w:lang w:val="es-PA"/>
              </w:rPr>
              <w:t>Year</w:t>
            </w:r>
          </w:p>
        </w:tc>
        <w:tc>
          <w:tcPr>
            <w:tcW w:w="3898" w:type="dxa"/>
            <w:gridSpan w:val="2"/>
            <w:tcBorders>
              <w:top w:val="thinThickThinSmallGap" w:sz="24" w:space="0" w:color="auto"/>
              <w:left w:val="single" w:sz="12" w:space="0" w:color="auto"/>
              <w:bottom w:val="single" w:sz="12" w:space="0" w:color="auto"/>
              <w:right w:val="single" w:sz="12" w:space="0" w:color="auto"/>
            </w:tcBorders>
            <w:vAlign w:val="center"/>
          </w:tcPr>
          <w:p w14:paraId="3C7A6E58" w14:textId="2733D30E"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b/>
                <w:sz w:val="18"/>
                <w:szCs w:val="18"/>
                <w:shd w:val="clear" w:color="auto" w:fill="E0E0E0"/>
                <w:lang w:val="es-PA"/>
              </w:rPr>
              <w:t>Comments</w:t>
            </w:r>
          </w:p>
        </w:tc>
      </w:tr>
      <w:tr w:rsidR="001A1AFB" w:rsidRPr="001A1AFB" w14:paraId="60C6C0F4" w14:textId="77777777" w:rsidTr="00E63423">
        <w:trPr>
          <w:trHeight w:val="338"/>
        </w:trPr>
        <w:tc>
          <w:tcPr>
            <w:tcW w:w="3895" w:type="dxa"/>
            <w:gridSpan w:val="2"/>
            <w:vMerge/>
            <w:tcBorders>
              <w:left w:val="single" w:sz="12" w:space="0" w:color="auto"/>
              <w:bottom w:val="single" w:sz="12" w:space="0" w:color="auto"/>
              <w:right w:val="single" w:sz="12" w:space="0" w:color="auto"/>
            </w:tcBorders>
            <w:shd w:val="clear" w:color="auto" w:fill="C0C0C0"/>
            <w:vAlign w:val="center"/>
          </w:tcPr>
          <w:p w14:paraId="4247BA21" w14:textId="77777777" w:rsidR="00AE6360" w:rsidRPr="001A1AF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BC659E" w14:textId="77777777"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100</w:t>
            </w:r>
          </w:p>
        </w:tc>
        <w:tc>
          <w:tcPr>
            <w:tcW w:w="3898" w:type="dxa"/>
            <w:gridSpan w:val="2"/>
            <w:tcBorders>
              <w:top w:val="single" w:sz="12" w:space="0" w:color="auto"/>
              <w:left w:val="single" w:sz="12" w:space="0" w:color="auto"/>
              <w:bottom w:val="single" w:sz="12" w:space="0" w:color="auto"/>
              <w:right w:val="single" w:sz="12" w:space="0" w:color="auto"/>
            </w:tcBorders>
            <w:vAlign w:val="center"/>
          </w:tcPr>
          <w:p w14:paraId="5A93523C" w14:textId="52ABA7A4" w:rsidR="00AE6360" w:rsidRPr="001A1AFB" w:rsidRDefault="00DA4F9F"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N/A</w:t>
            </w:r>
          </w:p>
        </w:tc>
      </w:tr>
    </w:tbl>
    <w:p w14:paraId="6A967FF1" w14:textId="77777777" w:rsidR="00725C6B" w:rsidRPr="001A1AFB" w:rsidRDefault="00725C6B" w:rsidP="00725C6B">
      <w:pPr>
        <w:tabs>
          <w:tab w:val="left" w:pos="4680"/>
        </w:tabs>
        <w:rPr>
          <w:rFonts w:ascii="Myriad Pro" w:hAnsi="Myriad Pro" w:cs="Arial"/>
          <w:b/>
          <w:bCs/>
          <w:sz w:val="20"/>
          <w:szCs w:val="20"/>
          <w:lang w:val="es-PA"/>
        </w:rPr>
      </w:pPr>
    </w:p>
    <w:tbl>
      <w:tblPr>
        <w:tblStyle w:val="TableGrid"/>
        <w:tblW w:w="0" w:type="auto"/>
        <w:tblLook w:val="01E0" w:firstRow="1" w:lastRow="1" w:firstColumn="1" w:lastColumn="1" w:noHBand="0" w:noVBand="0"/>
      </w:tblPr>
      <w:tblGrid>
        <w:gridCol w:w="1923"/>
        <w:gridCol w:w="1915"/>
        <w:gridCol w:w="5736"/>
      </w:tblGrid>
      <w:tr w:rsidR="001A1AFB" w:rsidRPr="001A1AFB" w14:paraId="4E9E92F0" w14:textId="77777777" w:rsidTr="00E63423">
        <w:tc>
          <w:tcPr>
            <w:tcW w:w="9742" w:type="dxa"/>
            <w:gridSpan w:val="3"/>
            <w:tcBorders>
              <w:top w:val="single" w:sz="12" w:space="0" w:color="auto"/>
              <w:left w:val="single" w:sz="12" w:space="0" w:color="auto"/>
              <w:right w:val="single" w:sz="12" w:space="0" w:color="auto"/>
            </w:tcBorders>
            <w:shd w:val="clear" w:color="auto" w:fill="C0C0C0"/>
            <w:vAlign w:val="center"/>
          </w:tcPr>
          <w:p w14:paraId="2AB721F6" w14:textId="23CA2526" w:rsidR="00725C6B" w:rsidRPr="001A1AFB" w:rsidRDefault="00973767" w:rsidP="00E63423">
            <w:pPr>
              <w:tabs>
                <w:tab w:val="left" w:pos="4680"/>
              </w:tabs>
              <w:jc w:val="center"/>
              <w:rPr>
                <w:rFonts w:ascii="Myriad Pro" w:hAnsi="Myriad Pro" w:cs="Arial"/>
                <w:b/>
                <w:bCs/>
                <w:sz w:val="20"/>
                <w:szCs w:val="20"/>
                <w:lang w:val="en-US"/>
              </w:rPr>
            </w:pPr>
            <w:r w:rsidRPr="001A1AFB">
              <w:rPr>
                <w:rFonts w:ascii="Myriad Pro" w:hAnsi="Myriad Pro" w:cs="Arial"/>
                <w:b/>
                <w:bCs/>
                <w:sz w:val="20"/>
                <w:szCs w:val="20"/>
                <w:lang w:val="en-US"/>
              </w:rPr>
              <w:t>Project Progress during the year</w:t>
            </w:r>
          </w:p>
        </w:tc>
      </w:tr>
      <w:tr w:rsidR="001A1AFB" w:rsidRPr="001A1AFB" w14:paraId="44913922" w14:textId="77777777" w:rsidTr="00E63423">
        <w:tc>
          <w:tcPr>
            <w:tcW w:w="1948" w:type="dxa"/>
            <w:vMerge w:val="restart"/>
            <w:tcBorders>
              <w:left w:val="single" w:sz="12" w:space="0" w:color="auto"/>
            </w:tcBorders>
            <w:shd w:val="clear" w:color="auto" w:fill="C0C0C0"/>
            <w:vAlign w:val="center"/>
          </w:tcPr>
          <w:p w14:paraId="3477E059" w14:textId="5E26DE91" w:rsidR="00725C6B" w:rsidRPr="001A1AFB" w:rsidRDefault="00725C6B" w:rsidP="00973767">
            <w:pPr>
              <w:tabs>
                <w:tab w:val="left" w:pos="4680"/>
              </w:tabs>
              <w:jc w:val="center"/>
              <w:rPr>
                <w:rFonts w:ascii="Myriad Pro" w:hAnsi="Myriad Pro"/>
                <w:sz w:val="18"/>
                <w:szCs w:val="18"/>
                <w:shd w:val="clear" w:color="auto" w:fill="E0E0E0"/>
                <w:lang w:val="es-PA"/>
              </w:rPr>
            </w:pPr>
            <w:r w:rsidRPr="001A1AFB">
              <w:rPr>
                <w:rFonts w:ascii="Myriad Pro" w:hAnsi="Myriad Pro"/>
                <w:b/>
                <w:sz w:val="18"/>
                <w:szCs w:val="18"/>
                <w:shd w:val="clear" w:color="auto" w:fill="E0E0E0"/>
                <w:lang w:val="es-PA"/>
              </w:rPr>
              <w:t xml:space="preserve">% </w:t>
            </w:r>
            <w:r w:rsidR="00973767" w:rsidRPr="001A1AFB">
              <w:rPr>
                <w:rFonts w:ascii="Myriad Pro" w:hAnsi="Myriad Pro"/>
                <w:b/>
                <w:sz w:val="18"/>
                <w:szCs w:val="18"/>
                <w:shd w:val="clear" w:color="auto" w:fill="E0E0E0"/>
                <w:lang w:val="es-PA"/>
              </w:rPr>
              <w:t>Progress of all products</w:t>
            </w:r>
          </w:p>
        </w:tc>
        <w:tc>
          <w:tcPr>
            <w:tcW w:w="1948" w:type="dxa"/>
            <w:shd w:val="clear" w:color="auto" w:fill="C0C0C0"/>
            <w:vAlign w:val="center"/>
          </w:tcPr>
          <w:p w14:paraId="75E68408" w14:textId="6D6D1F6C" w:rsidR="00725C6B" w:rsidRPr="001A1AFB" w:rsidRDefault="00973767" w:rsidP="00E63423">
            <w:pPr>
              <w:tabs>
                <w:tab w:val="left" w:pos="4680"/>
              </w:tabs>
              <w:jc w:val="center"/>
              <w:rPr>
                <w:rFonts w:ascii="Myriad Pro" w:hAnsi="Myriad Pro"/>
                <w:b/>
                <w:sz w:val="18"/>
                <w:szCs w:val="18"/>
                <w:shd w:val="clear" w:color="auto" w:fill="E0E0E0"/>
                <w:lang w:val="es-PA"/>
              </w:rPr>
            </w:pPr>
            <w:r w:rsidRPr="001A1AFB">
              <w:rPr>
                <w:rFonts w:ascii="Myriad Pro" w:hAnsi="Myriad Pro"/>
                <w:b/>
                <w:sz w:val="18"/>
                <w:szCs w:val="18"/>
                <w:shd w:val="clear" w:color="auto" w:fill="E0E0E0"/>
                <w:lang w:val="es-PA"/>
              </w:rPr>
              <w:t>Year</w:t>
            </w:r>
          </w:p>
        </w:tc>
        <w:tc>
          <w:tcPr>
            <w:tcW w:w="5846" w:type="dxa"/>
            <w:tcBorders>
              <w:right w:val="single" w:sz="12" w:space="0" w:color="auto"/>
            </w:tcBorders>
            <w:shd w:val="clear" w:color="auto" w:fill="C0C0C0"/>
            <w:vAlign w:val="center"/>
          </w:tcPr>
          <w:p w14:paraId="27640E9C" w14:textId="6291911F" w:rsidR="00725C6B" w:rsidRPr="001A1AFB" w:rsidRDefault="00725C6B" w:rsidP="00973767">
            <w:pPr>
              <w:tabs>
                <w:tab w:val="left" w:pos="4680"/>
              </w:tabs>
              <w:jc w:val="center"/>
              <w:rPr>
                <w:rFonts w:ascii="Myriad Pro" w:hAnsi="Myriad Pro"/>
                <w:b/>
                <w:sz w:val="18"/>
                <w:szCs w:val="18"/>
                <w:shd w:val="clear" w:color="auto" w:fill="E0E0E0"/>
                <w:lang w:val="es-PA"/>
              </w:rPr>
            </w:pPr>
            <w:r w:rsidRPr="001A1AFB">
              <w:rPr>
                <w:rFonts w:ascii="Myriad Pro" w:hAnsi="Myriad Pro"/>
                <w:b/>
                <w:sz w:val="18"/>
                <w:szCs w:val="18"/>
                <w:shd w:val="clear" w:color="auto" w:fill="E0E0E0"/>
                <w:lang w:val="es-PA"/>
              </w:rPr>
              <w:t>Com</w:t>
            </w:r>
            <w:r w:rsidR="00973767" w:rsidRPr="001A1AFB">
              <w:rPr>
                <w:rFonts w:ascii="Myriad Pro" w:hAnsi="Myriad Pro"/>
                <w:b/>
                <w:sz w:val="18"/>
                <w:szCs w:val="18"/>
                <w:shd w:val="clear" w:color="auto" w:fill="E0E0E0"/>
                <w:lang w:val="es-PA"/>
              </w:rPr>
              <w:t>mments</w:t>
            </w:r>
          </w:p>
        </w:tc>
      </w:tr>
      <w:tr w:rsidR="001A1AFB" w:rsidRPr="001A1AFB" w14:paraId="18354386" w14:textId="77777777" w:rsidTr="00E63423">
        <w:tc>
          <w:tcPr>
            <w:tcW w:w="1948" w:type="dxa"/>
            <w:vMerge/>
            <w:tcBorders>
              <w:left w:val="single" w:sz="12" w:space="0" w:color="auto"/>
              <w:bottom w:val="single" w:sz="12" w:space="0" w:color="auto"/>
            </w:tcBorders>
            <w:shd w:val="clear" w:color="auto" w:fill="C0C0C0"/>
          </w:tcPr>
          <w:p w14:paraId="1249AB9D" w14:textId="77777777" w:rsidR="00725C6B" w:rsidRPr="001A1AFB" w:rsidRDefault="00725C6B" w:rsidP="00E63423">
            <w:pPr>
              <w:tabs>
                <w:tab w:val="left" w:pos="4680"/>
              </w:tabs>
              <w:rPr>
                <w:rFonts w:ascii="Myriad Pro" w:hAnsi="Myriad Pro"/>
                <w:shd w:val="clear" w:color="auto" w:fill="E0E0E0"/>
                <w:lang w:val="es-PA"/>
              </w:rPr>
            </w:pPr>
          </w:p>
        </w:tc>
        <w:tc>
          <w:tcPr>
            <w:tcW w:w="1948" w:type="dxa"/>
            <w:tcBorders>
              <w:bottom w:val="single" w:sz="12" w:space="0" w:color="auto"/>
            </w:tcBorders>
          </w:tcPr>
          <w:p w14:paraId="2F496CD8" w14:textId="77777777" w:rsidR="00725C6B" w:rsidRPr="001A1AFB" w:rsidRDefault="00725C6B"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100</w:t>
            </w:r>
          </w:p>
        </w:tc>
        <w:tc>
          <w:tcPr>
            <w:tcW w:w="5846" w:type="dxa"/>
            <w:tcBorders>
              <w:bottom w:val="single" w:sz="12" w:space="0" w:color="auto"/>
              <w:right w:val="single" w:sz="12" w:space="0" w:color="auto"/>
            </w:tcBorders>
          </w:tcPr>
          <w:p w14:paraId="2EE166E6" w14:textId="1E4B23F5" w:rsidR="00725C6B" w:rsidRPr="001A1AFB" w:rsidRDefault="00DA4F9F"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N/A</w:t>
            </w:r>
          </w:p>
        </w:tc>
      </w:tr>
    </w:tbl>
    <w:p w14:paraId="2E91AE52" w14:textId="77777777" w:rsidR="0079076A" w:rsidRPr="00A338F7" w:rsidRDefault="0079076A" w:rsidP="0079076A">
      <w:pPr>
        <w:tabs>
          <w:tab w:val="left" w:pos="4680"/>
        </w:tabs>
        <w:ind w:left="720"/>
        <w:rPr>
          <w:rFonts w:ascii="Calibri" w:hAnsi="Calibri" w:cs="Arial"/>
          <w:b/>
          <w:bCs/>
          <w:sz w:val="18"/>
          <w:szCs w:val="18"/>
        </w:rPr>
      </w:pPr>
    </w:p>
    <w:p w14:paraId="2E91B031" w14:textId="77777777" w:rsidR="00A338F7" w:rsidRPr="0079076A" w:rsidRDefault="00A338F7" w:rsidP="0079076A">
      <w:pPr>
        <w:tabs>
          <w:tab w:val="left" w:pos="4680"/>
        </w:tabs>
        <w:rPr>
          <w:rFonts w:ascii="Calibri" w:hAnsi="Calibri" w:cs="Calibri"/>
          <w:b/>
          <w:bCs/>
          <w:sz w:val="18"/>
          <w:szCs w:val="18"/>
          <w:lang w:val="en-US"/>
        </w:rPr>
      </w:pPr>
    </w:p>
    <w:p w14:paraId="2E91B032" w14:textId="77777777" w:rsidR="00FC2581" w:rsidRPr="00A338F7" w:rsidRDefault="00A62F66" w:rsidP="00CE6BAC">
      <w:pPr>
        <w:pStyle w:val="ListParagraph"/>
        <w:numPr>
          <w:ilvl w:val="0"/>
          <w:numId w:val="18"/>
        </w:numPr>
        <w:tabs>
          <w:tab w:val="left" w:pos="4680"/>
        </w:tabs>
        <w:rPr>
          <w:rFonts w:asciiTheme="minorHAnsi" w:hAnsiTheme="minorHAnsi" w:cstheme="minorHAnsi"/>
          <w:b/>
          <w:bCs/>
          <w:szCs w:val="22"/>
        </w:rPr>
      </w:pPr>
      <w:bookmarkStart w:id="0" w:name="_GoBack"/>
      <w:r w:rsidRPr="00A338F7">
        <w:rPr>
          <w:rFonts w:asciiTheme="minorHAnsi" w:hAnsiTheme="minorHAnsi" w:cstheme="minorHAnsi"/>
          <w:b/>
          <w:bCs/>
          <w:szCs w:val="22"/>
        </w:rPr>
        <w:t xml:space="preserve">PROJECT </w:t>
      </w:r>
      <w:r w:rsidR="005A0D2D" w:rsidRPr="00A338F7">
        <w:rPr>
          <w:rFonts w:asciiTheme="minorHAnsi" w:hAnsiTheme="minorHAnsi" w:cstheme="minorHAnsi"/>
          <w:b/>
          <w:bCs/>
          <w:szCs w:val="22"/>
        </w:rPr>
        <w:t xml:space="preserve">RISKS </w:t>
      </w:r>
      <w:bookmarkEnd w:id="0"/>
    </w:p>
    <w:p w14:paraId="2E91B033" w14:textId="77777777" w:rsidR="00FC2581" w:rsidRPr="002F405C" w:rsidRDefault="00FC2581" w:rsidP="00FC2581">
      <w:pPr>
        <w:tabs>
          <w:tab w:val="left" w:pos="4680"/>
        </w:tabs>
        <w:rPr>
          <w:rFonts w:asciiTheme="minorHAnsi" w:hAnsiTheme="minorHAnsi" w:cstheme="minorHAnsi"/>
          <w:b/>
          <w:bCs/>
          <w:szCs w:val="22"/>
          <w:lang w:val="en-US"/>
        </w:rPr>
      </w:pPr>
    </w:p>
    <w:tbl>
      <w:tblPr>
        <w:tblStyle w:val="TableGrid"/>
        <w:tblW w:w="9820" w:type="dxa"/>
        <w:tblInd w:w="-2" w:type="dxa"/>
        <w:tblLayout w:type="fixed"/>
        <w:tblLook w:val="01E0" w:firstRow="1" w:lastRow="1" w:firstColumn="1" w:lastColumn="1" w:noHBand="0" w:noVBand="0"/>
      </w:tblPr>
      <w:tblGrid>
        <w:gridCol w:w="819"/>
        <w:gridCol w:w="2552"/>
        <w:gridCol w:w="1656"/>
        <w:gridCol w:w="1350"/>
        <w:gridCol w:w="3443"/>
      </w:tblGrid>
      <w:tr w:rsidR="006F1D48" w:rsidRPr="002F405C" w14:paraId="2E91B039" w14:textId="77777777" w:rsidTr="00D80D16">
        <w:tc>
          <w:tcPr>
            <w:tcW w:w="819" w:type="dxa"/>
            <w:tcBorders>
              <w:top w:val="single" w:sz="12" w:space="0" w:color="auto"/>
              <w:left w:val="single" w:sz="12" w:space="0" w:color="auto"/>
            </w:tcBorders>
            <w:shd w:val="clear" w:color="auto" w:fill="C0C0C0"/>
          </w:tcPr>
          <w:p w14:paraId="2E91B034" w14:textId="77777777" w:rsidR="002F405C" w:rsidRPr="00EA3AF2" w:rsidRDefault="00A337D2" w:rsidP="00EA3AF2">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r w:rsidR="006F1D48" w:rsidRPr="002F405C">
              <w:rPr>
                <w:rFonts w:asciiTheme="minorHAnsi" w:hAnsiTheme="minorHAnsi" w:cstheme="minorHAnsi"/>
                <w:b/>
                <w:szCs w:val="22"/>
                <w:lang w:val="en-US"/>
              </w:rPr>
              <w:t>.</w:t>
            </w:r>
          </w:p>
        </w:tc>
        <w:tc>
          <w:tcPr>
            <w:tcW w:w="2552" w:type="dxa"/>
            <w:tcBorders>
              <w:top w:val="single" w:sz="12" w:space="0" w:color="auto"/>
              <w:left w:val="single" w:sz="12" w:space="0" w:color="auto"/>
            </w:tcBorders>
            <w:shd w:val="clear" w:color="auto" w:fill="C0C0C0"/>
          </w:tcPr>
          <w:p w14:paraId="2E91B035"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1656" w:type="dxa"/>
            <w:tcBorders>
              <w:top w:val="single" w:sz="12" w:space="0" w:color="auto"/>
            </w:tcBorders>
            <w:shd w:val="clear" w:color="auto" w:fill="C0C0C0"/>
          </w:tcPr>
          <w:p w14:paraId="2E91B036"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350" w:type="dxa"/>
            <w:tcBorders>
              <w:top w:val="single" w:sz="12" w:space="0" w:color="auto"/>
            </w:tcBorders>
            <w:shd w:val="clear" w:color="auto" w:fill="C0C0C0"/>
          </w:tcPr>
          <w:p w14:paraId="2E91B037"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Type of Risk</w:t>
            </w:r>
          </w:p>
        </w:tc>
        <w:tc>
          <w:tcPr>
            <w:tcW w:w="3443" w:type="dxa"/>
            <w:tcBorders>
              <w:top w:val="single" w:sz="12" w:space="0" w:color="auto"/>
              <w:right w:val="single" w:sz="12" w:space="0" w:color="auto"/>
            </w:tcBorders>
            <w:shd w:val="clear" w:color="auto" w:fill="C0C0C0"/>
          </w:tcPr>
          <w:p w14:paraId="2E91B038"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w:t>
            </w:r>
            <w:r w:rsidR="005C5B53" w:rsidRPr="002F405C">
              <w:rPr>
                <w:rFonts w:asciiTheme="minorHAnsi" w:hAnsiTheme="minorHAnsi" w:cstheme="minorHAnsi"/>
                <w:b/>
                <w:szCs w:val="22"/>
                <w:lang w:val="en-US"/>
              </w:rPr>
              <w:t>u</w:t>
            </w:r>
            <w:r w:rsidRPr="002F405C">
              <w:rPr>
                <w:rFonts w:asciiTheme="minorHAnsi" w:hAnsiTheme="minorHAnsi" w:cstheme="minorHAnsi"/>
                <w:b/>
                <w:szCs w:val="22"/>
                <w:lang w:val="en-US"/>
              </w:rPr>
              <w:t>ntermeasures adopted</w:t>
            </w:r>
          </w:p>
        </w:tc>
      </w:tr>
      <w:tr w:rsidR="008B7FD4" w:rsidRPr="002F405C" w14:paraId="2E91B043" w14:textId="77777777" w:rsidTr="00D80D16">
        <w:tc>
          <w:tcPr>
            <w:tcW w:w="819" w:type="dxa"/>
            <w:tcBorders>
              <w:left w:val="single" w:sz="12" w:space="0" w:color="auto"/>
            </w:tcBorders>
          </w:tcPr>
          <w:p w14:paraId="2E91B03A" w14:textId="65ED31EB" w:rsidR="008B7FD4" w:rsidRPr="00EA3AF2" w:rsidRDefault="00710722"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2552" w:type="dxa"/>
            <w:tcBorders>
              <w:left w:val="single" w:sz="12" w:space="0" w:color="auto"/>
            </w:tcBorders>
          </w:tcPr>
          <w:p w14:paraId="2E91B03B" w14:textId="0A1A198C" w:rsidR="008B7FD4" w:rsidRPr="00EA3AF2" w:rsidRDefault="00710722" w:rsidP="00EF4582">
            <w:pPr>
              <w:jc w:val="left"/>
              <w:rPr>
                <w:rFonts w:asciiTheme="minorHAnsi" w:hAnsiTheme="minorHAnsi" w:cstheme="minorHAnsi"/>
                <w:szCs w:val="22"/>
                <w:lang w:val="en-US"/>
              </w:rPr>
            </w:pPr>
            <w:r>
              <w:rPr>
                <w:rFonts w:asciiTheme="minorHAnsi" w:hAnsiTheme="minorHAnsi" w:cstheme="minorHAnsi"/>
                <w:szCs w:val="22"/>
                <w:lang w:val="en-US"/>
              </w:rPr>
              <w:t>P</w:t>
            </w:r>
            <w:r w:rsidRPr="00710722">
              <w:rPr>
                <w:rFonts w:asciiTheme="minorHAnsi" w:hAnsiTheme="minorHAnsi" w:cstheme="minorHAnsi"/>
                <w:szCs w:val="22"/>
                <w:lang w:val="en-US"/>
              </w:rPr>
              <w:t>artner co</w:t>
            </w:r>
            <w:r>
              <w:rPr>
                <w:rFonts w:asciiTheme="minorHAnsi" w:hAnsiTheme="minorHAnsi" w:cstheme="minorHAnsi"/>
                <w:szCs w:val="22"/>
                <w:lang w:val="en-US"/>
              </w:rPr>
              <w:t>-</w:t>
            </w:r>
            <w:r w:rsidRPr="00710722">
              <w:rPr>
                <w:rFonts w:asciiTheme="minorHAnsi" w:hAnsiTheme="minorHAnsi" w:cstheme="minorHAnsi"/>
                <w:szCs w:val="22"/>
                <w:lang w:val="en-US"/>
              </w:rPr>
              <w:t>financing does not materialize.</w:t>
            </w:r>
          </w:p>
        </w:tc>
        <w:tc>
          <w:tcPr>
            <w:tcW w:w="1656" w:type="dxa"/>
          </w:tcPr>
          <w:p w14:paraId="2E91B03C" w14:textId="2652C9EE" w:rsidR="008B7FD4" w:rsidRPr="00EA3AF2" w:rsidRDefault="00710722" w:rsidP="0069230B">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3F" w14:textId="51198088" w:rsidR="009F1239" w:rsidRPr="00EA3AF2" w:rsidRDefault="00710722"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3443" w:type="dxa"/>
            <w:tcBorders>
              <w:right w:val="single" w:sz="12" w:space="0" w:color="auto"/>
            </w:tcBorders>
          </w:tcPr>
          <w:p w14:paraId="2E91B042" w14:textId="2DCA9427" w:rsidR="009F1239" w:rsidRPr="00EA3AF2" w:rsidRDefault="00710722" w:rsidP="0069230B">
            <w:pPr>
              <w:jc w:val="left"/>
              <w:rPr>
                <w:rFonts w:asciiTheme="minorHAnsi" w:hAnsiTheme="minorHAnsi" w:cstheme="minorHAnsi"/>
                <w:szCs w:val="22"/>
                <w:lang w:val="en-US"/>
              </w:rPr>
            </w:pPr>
            <w:r w:rsidRPr="00710722">
              <w:rPr>
                <w:rFonts w:asciiTheme="minorHAnsi" w:hAnsiTheme="minorHAnsi" w:cstheme="minorHAnsi"/>
                <w:szCs w:val="22"/>
                <w:lang w:val="en-US"/>
              </w:rPr>
              <w:t>The GCP has maintained close relationships with donors and companies to ensure continued willingness to support the process.</w:t>
            </w:r>
            <w:r>
              <w:rPr>
                <w:rFonts w:asciiTheme="minorHAnsi" w:hAnsiTheme="minorHAnsi" w:cstheme="minorHAnsi"/>
                <w:szCs w:val="22"/>
                <w:lang w:val="en-US"/>
              </w:rPr>
              <w:t xml:space="preserve"> </w:t>
            </w:r>
            <w:r w:rsidR="00D80D16">
              <w:rPr>
                <w:rFonts w:asciiTheme="minorHAnsi" w:hAnsiTheme="minorHAnsi" w:cstheme="minorHAnsi"/>
                <w:szCs w:val="22"/>
                <w:lang w:val="en-US"/>
              </w:rPr>
              <w:t>Renewed c</w:t>
            </w:r>
            <w:r>
              <w:rPr>
                <w:rFonts w:asciiTheme="minorHAnsi" w:hAnsiTheme="minorHAnsi" w:cstheme="minorHAnsi"/>
                <w:szCs w:val="22"/>
                <w:lang w:val="en-US"/>
              </w:rPr>
              <w:t>ontribution</w:t>
            </w:r>
            <w:r w:rsidR="0069230B">
              <w:rPr>
                <w:rFonts w:asciiTheme="minorHAnsi" w:hAnsiTheme="minorHAnsi" w:cstheme="minorHAnsi"/>
                <w:szCs w:val="22"/>
                <w:lang w:val="en-US"/>
              </w:rPr>
              <w:t>s from IKEA in 201</w:t>
            </w:r>
            <w:r w:rsidR="00D80D16">
              <w:rPr>
                <w:rFonts w:asciiTheme="minorHAnsi" w:hAnsiTheme="minorHAnsi" w:cstheme="minorHAnsi"/>
                <w:szCs w:val="22"/>
                <w:lang w:val="en-US"/>
              </w:rPr>
              <w:t>8 and interest from other companies and potential donors</w:t>
            </w:r>
            <w:r>
              <w:rPr>
                <w:rFonts w:asciiTheme="minorHAnsi" w:hAnsiTheme="minorHAnsi" w:cstheme="minorHAnsi"/>
                <w:szCs w:val="22"/>
                <w:lang w:val="en-US"/>
              </w:rPr>
              <w:t xml:space="preserve"> </w:t>
            </w:r>
            <w:r w:rsidR="0069230B">
              <w:rPr>
                <w:rFonts w:asciiTheme="minorHAnsi" w:hAnsiTheme="minorHAnsi" w:cstheme="minorHAnsi"/>
                <w:szCs w:val="22"/>
                <w:lang w:val="en-US"/>
              </w:rPr>
              <w:t xml:space="preserve">demonstrate </w:t>
            </w:r>
            <w:r w:rsidR="00D80D16">
              <w:rPr>
                <w:rFonts w:asciiTheme="minorHAnsi" w:hAnsiTheme="minorHAnsi" w:cstheme="minorHAnsi"/>
                <w:szCs w:val="22"/>
                <w:lang w:val="en-US"/>
              </w:rPr>
              <w:t xml:space="preserve">a </w:t>
            </w:r>
            <w:r w:rsidR="0069230B">
              <w:rPr>
                <w:rFonts w:asciiTheme="minorHAnsi" w:hAnsiTheme="minorHAnsi" w:cstheme="minorHAnsi"/>
                <w:szCs w:val="22"/>
                <w:lang w:val="en-US"/>
              </w:rPr>
              <w:t xml:space="preserve">successful approach. </w:t>
            </w:r>
          </w:p>
        </w:tc>
      </w:tr>
      <w:tr w:rsidR="0033339B" w:rsidRPr="002F405C" w14:paraId="2E91B04A" w14:textId="77777777" w:rsidTr="00D80D16">
        <w:tc>
          <w:tcPr>
            <w:tcW w:w="819" w:type="dxa"/>
            <w:tcBorders>
              <w:left w:val="single" w:sz="12" w:space="0" w:color="auto"/>
            </w:tcBorders>
          </w:tcPr>
          <w:p w14:paraId="2E91B044" w14:textId="7F8FB1EF" w:rsidR="0033339B" w:rsidRPr="00EA3AF2" w:rsidRDefault="0069230B"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2552" w:type="dxa"/>
            <w:tcBorders>
              <w:left w:val="single" w:sz="12" w:space="0" w:color="auto"/>
            </w:tcBorders>
          </w:tcPr>
          <w:p w14:paraId="2E91B045" w14:textId="75921253" w:rsidR="0033339B" w:rsidRPr="00EA3AF2" w:rsidRDefault="0069230B" w:rsidP="00EF4582">
            <w:pPr>
              <w:jc w:val="left"/>
              <w:rPr>
                <w:rFonts w:asciiTheme="minorHAnsi" w:hAnsiTheme="minorHAnsi" w:cstheme="minorHAnsi"/>
                <w:szCs w:val="22"/>
                <w:lang w:val="en-US"/>
              </w:rPr>
            </w:pPr>
            <w:r w:rsidRPr="0069230B">
              <w:rPr>
                <w:rFonts w:asciiTheme="minorHAnsi" w:hAnsiTheme="minorHAnsi" w:cstheme="minorHAnsi"/>
                <w:szCs w:val="22"/>
                <w:lang w:val="en-US"/>
              </w:rPr>
              <w:t>Political support for the project diminishes.</w:t>
            </w:r>
          </w:p>
        </w:tc>
        <w:tc>
          <w:tcPr>
            <w:tcW w:w="1656" w:type="dxa"/>
          </w:tcPr>
          <w:p w14:paraId="2E91B046" w14:textId="77042AFA" w:rsidR="0033339B" w:rsidRPr="00EA3AF2" w:rsidRDefault="0069230B"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48" w14:textId="5860600E" w:rsidR="0033339B" w:rsidRPr="00EA3AF2" w:rsidRDefault="0069230B"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3443" w:type="dxa"/>
            <w:tcBorders>
              <w:right w:val="single" w:sz="12" w:space="0" w:color="auto"/>
            </w:tcBorders>
          </w:tcPr>
          <w:p w14:paraId="2E91B049" w14:textId="196B3311" w:rsidR="0033339B" w:rsidRPr="00EA3AF2" w:rsidRDefault="00D80D16" w:rsidP="00B81A19">
            <w:pPr>
              <w:jc w:val="left"/>
              <w:rPr>
                <w:rFonts w:asciiTheme="minorHAnsi" w:hAnsiTheme="minorHAnsi" w:cstheme="minorHAnsi"/>
                <w:szCs w:val="22"/>
                <w:lang w:val="en-US"/>
              </w:rPr>
            </w:pPr>
            <w:r>
              <w:rPr>
                <w:rFonts w:asciiTheme="minorHAnsi" w:hAnsiTheme="minorHAnsi" w:cstheme="minorHAnsi"/>
                <w:szCs w:val="22"/>
                <w:lang w:val="en-US"/>
              </w:rPr>
              <w:t xml:space="preserve">GCP and the country offices engage with the relevant government ministries and officials at national and sub-national levels to </w:t>
            </w:r>
            <w:r w:rsidR="00B81A19">
              <w:rPr>
                <w:rFonts w:asciiTheme="minorHAnsi" w:hAnsiTheme="minorHAnsi" w:cstheme="minorHAnsi"/>
                <w:szCs w:val="22"/>
                <w:lang w:val="en-US"/>
              </w:rPr>
              <w:t xml:space="preserve">build political support for the work and strengthen partnerships. Stakeholder engagement is a key component of any GCP project, particularly in the event of a change in government. The relationships that GCP has built over years of engagement in our core countries </w:t>
            </w:r>
            <w:r w:rsidR="00B81A19">
              <w:rPr>
                <w:rFonts w:asciiTheme="minorHAnsi" w:hAnsiTheme="minorHAnsi" w:cstheme="minorHAnsi"/>
                <w:szCs w:val="22"/>
                <w:lang w:val="en-US"/>
              </w:rPr>
              <w:lastRenderedPageBreak/>
              <w:t xml:space="preserve">are crucial to maintaining support for the work. </w:t>
            </w:r>
          </w:p>
        </w:tc>
      </w:tr>
      <w:tr w:rsidR="00241FFA" w:rsidRPr="002F405C" w14:paraId="2E91B051" w14:textId="77777777" w:rsidTr="00D80D16">
        <w:tc>
          <w:tcPr>
            <w:tcW w:w="819" w:type="dxa"/>
            <w:tcBorders>
              <w:left w:val="single" w:sz="12" w:space="0" w:color="auto"/>
            </w:tcBorders>
          </w:tcPr>
          <w:p w14:paraId="2E91B04B" w14:textId="54BFE0D5"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lastRenderedPageBreak/>
              <w:t>3</w:t>
            </w:r>
          </w:p>
        </w:tc>
        <w:tc>
          <w:tcPr>
            <w:tcW w:w="2552" w:type="dxa"/>
            <w:tcBorders>
              <w:left w:val="single" w:sz="12" w:space="0" w:color="auto"/>
            </w:tcBorders>
          </w:tcPr>
          <w:p w14:paraId="2E91B04C" w14:textId="5FC05226"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Weak partner institutions prevent implementation of necessary action.</w:t>
            </w:r>
          </w:p>
        </w:tc>
        <w:tc>
          <w:tcPr>
            <w:tcW w:w="1656" w:type="dxa"/>
          </w:tcPr>
          <w:p w14:paraId="2E91B04D" w14:textId="2D4FF503" w:rsidR="00241FFA" w:rsidRPr="00EA3AF2" w:rsidRDefault="00EF4582"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4E" w14:textId="6F774EC0" w:rsidR="00241FFA" w:rsidRPr="00EA3AF2" w:rsidRDefault="00EF4582" w:rsidP="008E79EF">
            <w:pPr>
              <w:rPr>
                <w:rFonts w:asciiTheme="minorHAnsi" w:hAnsiTheme="minorHAnsi" w:cstheme="minorHAnsi"/>
                <w:szCs w:val="22"/>
                <w:lang w:val="en-US"/>
              </w:rPr>
            </w:pPr>
            <w:r>
              <w:rPr>
                <w:rFonts w:asciiTheme="minorHAnsi" w:hAnsiTheme="minorHAnsi" w:cstheme="minorHAnsi"/>
                <w:szCs w:val="22"/>
                <w:lang w:val="en-US"/>
              </w:rPr>
              <w:t>Organizational</w:t>
            </w:r>
          </w:p>
        </w:tc>
        <w:tc>
          <w:tcPr>
            <w:tcW w:w="3443" w:type="dxa"/>
            <w:tcBorders>
              <w:right w:val="single" w:sz="12" w:space="0" w:color="auto"/>
            </w:tcBorders>
          </w:tcPr>
          <w:p w14:paraId="2E91B050" w14:textId="728329AB"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The project has managed this risk in two ways: first, by conducting a comprehensive analysis of institutional capacity to identify shortcomings, and second, by actively supporting institutional capacity building through the project activities.</w:t>
            </w:r>
            <w:r>
              <w:rPr>
                <w:rFonts w:asciiTheme="minorHAnsi" w:hAnsiTheme="minorHAnsi" w:cstheme="minorHAnsi"/>
                <w:szCs w:val="22"/>
                <w:lang w:val="en-US"/>
              </w:rPr>
              <w:t xml:space="preserve"> We have built</w:t>
            </w:r>
            <w:r w:rsidRPr="00EF4582">
              <w:rPr>
                <w:rFonts w:asciiTheme="minorHAnsi" w:hAnsiTheme="minorHAnsi" w:cstheme="minorHAnsi"/>
                <w:szCs w:val="22"/>
                <w:lang w:val="en-US"/>
              </w:rPr>
              <w:t xml:space="preserve"> capacity of counterpart institutions through our projects and community of practice</w:t>
            </w:r>
            <w:r>
              <w:rPr>
                <w:rFonts w:asciiTheme="minorHAnsi" w:hAnsiTheme="minorHAnsi" w:cstheme="minorHAnsi"/>
                <w:szCs w:val="22"/>
                <w:lang w:val="en-US"/>
              </w:rPr>
              <w:t xml:space="preserve"> to further mitigate the risk. </w:t>
            </w:r>
          </w:p>
        </w:tc>
      </w:tr>
      <w:tr w:rsidR="00241FFA" w:rsidRPr="002F405C" w14:paraId="2E91B058" w14:textId="77777777" w:rsidTr="00D80D16">
        <w:tc>
          <w:tcPr>
            <w:tcW w:w="819" w:type="dxa"/>
            <w:tcBorders>
              <w:left w:val="single" w:sz="12" w:space="0" w:color="auto"/>
            </w:tcBorders>
          </w:tcPr>
          <w:p w14:paraId="2E91B052" w14:textId="5B28F4B1"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t>4</w:t>
            </w:r>
          </w:p>
        </w:tc>
        <w:tc>
          <w:tcPr>
            <w:tcW w:w="2552" w:type="dxa"/>
            <w:tcBorders>
              <w:left w:val="single" w:sz="12" w:space="0" w:color="auto"/>
            </w:tcBorders>
          </w:tcPr>
          <w:p w14:paraId="2E91B053" w14:textId="1C4FE02E" w:rsidR="00241FFA" w:rsidRPr="00EA3AF2" w:rsidRDefault="00E306A0" w:rsidP="00EF4582">
            <w:pPr>
              <w:jc w:val="left"/>
              <w:rPr>
                <w:rFonts w:asciiTheme="minorHAnsi" w:hAnsiTheme="minorHAnsi" w:cstheme="minorHAnsi"/>
                <w:szCs w:val="22"/>
                <w:lang w:val="en-US"/>
              </w:rPr>
            </w:pPr>
            <w:r w:rsidRPr="00E306A0">
              <w:rPr>
                <w:rFonts w:asciiTheme="minorHAnsi" w:hAnsiTheme="minorHAnsi" w:cstheme="minorHAnsi"/>
                <w:szCs w:val="22"/>
                <w:lang w:val="en-US"/>
              </w:rPr>
              <w:t>Operational challenges in managing multi-stakeholder processes and partnerships limit consensus-building and coordinated action.</w:t>
            </w:r>
          </w:p>
        </w:tc>
        <w:tc>
          <w:tcPr>
            <w:tcW w:w="1656" w:type="dxa"/>
          </w:tcPr>
          <w:p w14:paraId="2E91B054" w14:textId="274F309B" w:rsidR="00241FFA"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55" w14:textId="7A2395CE" w:rsidR="00241FFA"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3443" w:type="dxa"/>
            <w:tcBorders>
              <w:right w:val="single" w:sz="12" w:space="0" w:color="auto"/>
            </w:tcBorders>
          </w:tcPr>
          <w:p w14:paraId="47C0D6C5" w14:textId="716765B6"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T</w:t>
            </w:r>
            <w:r w:rsidRPr="00E306A0">
              <w:rPr>
                <w:rFonts w:asciiTheme="minorHAnsi" w:hAnsiTheme="minorHAnsi" w:cstheme="minorHAnsi"/>
                <w:szCs w:val="22"/>
                <w:lang w:val="en-US"/>
              </w:rPr>
              <w:t xml:space="preserve">his is one of the most important risks for the project, it is also a risk that UNDP has managed directly, by a) careful selection of project staff, b) </w:t>
            </w:r>
            <w:r w:rsidR="003B7771">
              <w:rPr>
                <w:rFonts w:asciiTheme="minorHAnsi" w:hAnsiTheme="minorHAnsi" w:cstheme="minorHAnsi"/>
                <w:szCs w:val="22"/>
                <w:lang w:val="en-US"/>
              </w:rPr>
              <w:t>rigorous monitoring and trouble</w:t>
            </w:r>
            <w:r w:rsidRPr="00E306A0">
              <w:rPr>
                <w:rFonts w:asciiTheme="minorHAnsi" w:hAnsiTheme="minorHAnsi" w:cstheme="minorHAnsi"/>
                <w:szCs w:val="22"/>
                <w:lang w:val="en-US"/>
              </w:rPr>
              <w:t>shooting throughout the project lifetime, c) coaching of country project staff by GCP international staff, and d) effective participation in community of practice and inter-project learning processes.</w:t>
            </w:r>
            <w:r>
              <w:rPr>
                <w:rFonts w:asciiTheme="minorHAnsi" w:hAnsiTheme="minorHAnsi" w:cstheme="minorHAnsi"/>
                <w:szCs w:val="22"/>
                <w:lang w:val="en-US"/>
              </w:rPr>
              <w:t xml:space="preserve"> </w:t>
            </w:r>
          </w:p>
          <w:p w14:paraId="2E91B057" w14:textId="5DC41955" w:rsidR="00241FFA" w:rsidRPr="00EA3AF2" w:rsidRDefault="00E306A0" w:rsidP="00E306A0">
            <w:pPr>
              <w:jc w:val="left"/>
              <w:rPr>
                <w:rFonts w:asciiTheme="minorHAnsi" w:hAnsiTheme="minorHAnsi" w:cstheme="minorHAnsi"/>
                <w:szCs w:val="22"/>
                <w:lang w:val="en-US"/>
              </w:rPr>
            </w:pPr>
            <w:r w:rsidRPr="00E306A0">
              <w:rPr>
                <w:rFonts w:asciiTheme="minorHAnsi" w:hAnsiTheme="minorHAnsi" w:cstheme="minorHAnsi"/>
                <w:szCs w:val="22"/>
                <w:lang w:val="en-US"/>
              </w:rPr>
              <w:t>We have managed multi</w:t>
            </w:r>
            <w:r w:rsidR="00B81A19">
              <w:rPr>
                <w:rFonts w:asciiTheme="minorHAnsi" w:hAnsiTheme="minorHAnsi" w:cstheme="minorHAnsi"/>
                <w:szCs w:val="22"/>
                <w:lang w:val="en-US"/>
              </w:rPr>
              <w:t>-</w:t>
            </w:r>
            <w:r w:rsidRPr="00E306A0">
              <w:rPr>
                <w:rFonts w:asciiTheme="minorHAnsi" w:hAnsiTheme="minorHAnsi" w:cstheme="minorHAnsi"/>
                <w:szCs w:val="22"/>
                <w:lang w:val="en-US"/>
              </w:rPr>
              <w:t xml:space="preserve">stakeholder processes through guidance and capacity building of teams at country level and risk has been </w:t>
            </w:r>
            <w:r>
              <w:rPr>
                <w:rFonts w:asciiTheme="minorHAnsi" w:hAnsiTheme="minorHAnsi" w:cstheme="minorHAnsi"/>
                <w:szCs w:val="22"/>
                <w:lang w:val="en-US"/>
              </w:rPr>
              <w:t>mitigated</w:t>
            </w:r>
            <w:r w:rsidRPr="00E306A0">
              <w:rPr>
                <w:rFonts w:asciiTheme="minorHAnsi" w:hAnsiTheme="minorHAnsi" w:cstheme="minorHAnsi"/>
                <w:szCs w:val="22"/>
                <w:lang w:val="en-US"/>
              </w:rPr>
              <w:t>.</w:t>
            </w:r>
          </w:p>
        </w:tc>
      </w:tr>
      <w:tr w:rsidR="00E306A0" w:rsidRPr="002F405C" w14:paraId="2E91B05E" w14:textId="77777777" w:rsidTr="00D80D16">
        <w:tc>
          <w:tcPr>
            <w:tcW w:w="819" w:type="dxa"/>
            <w:tcBorders>
              <w:left w:val="single" w:sz="12" w:space="0" w:color="auto"/>
            </w:tcBorders>
          </w:tcPr>
          <w:p w14:paraId="2E91B059" w14:textId="230869C9"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5</w:t>
            </w:r>
          </w:p>
        </w:tc>
        <w:tc>
          <w:tcPr>
            <w:tcW w:w="2552" w:type="dxa"/>
            <w:tcBorders>
              <w:left w:val="single" w:sz="12" w:space="0" w:color="auto"/>
            </w:tcBorders>
          </w:tcPr>
          <w:p w14:paraId="2E91B05A" w14:textId="28206B5E"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Platforms move so slowly that companies / market loses faith in them</w:t>
            </w:r>
          </w:p>
        </w:tc>
        <w:tc>
          <w:tcPr>
            <w:tcW w:w="1656" w:type="dxa"/>
          </w:tcPr>
          <w:p w14:paraId="2E91B05B" w14:textId="7EC3C864" w:rsidR="00E306A0"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06/02/2015</w:t>
            </w:r>
          </w:p>
        </w:tc>
        <w:tc>
          <w:tcPr>
            <w:tcW w:w="1350" w:type="dxa"/>
          </w:tcPr>
          <w:p w14:paraId="2E91B05C" w14:textId="37EB9CF7" w:rsidR="00E306A0"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3443" w:type="dxa"/>
            <w:tcBorders>
              <w:right w:val="single" w:sz="12" w:space="0" w:color="auto"/>
            </w:tcBorders>
          </w:tcPr>
          <w:p w14:paraId="2E91B05D" w14:textId="7549970D"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 xml:space="preserve">Platform participation expectation management </w:t>
            </w:r>
            <w:r w:rsidR="00B81A19">
              <w:rPr>
                <w:rFonts w:asciiTheme="minorHAnsi" w:hAnsiTheme="minorHAnsi" w:cstheme="minorHAnsi"/>
                <w:szCs w:val="22"/>
                <w:lang w:val="en-US"/>
              </w:rPr>
              <w:t>is</w:t>
            </w:r>
            <w:r w:rsidRPr="00EF4582">
              <w:rPr>
                <w:rFonts w:asciiTheme="minorHAnsi" w:hAnsiTheme="minorHAnsi" w:cstheme="minorHAnsi"/>
                <w:szCs w:val="22"/>
                <w:lang w:val="en-US"/>
              </w:rPr>
              <w:t xml:space="preserve"> honest and upfront. Private sector participants </w:t>
            </w:r>
            <w:r w:rsidR="00B81A19">
              <w:rPr>
                <w:rFonts w:asciiTheme="minorHAnsi" w:hAnsiTheme="minorHAnsi" w:cstheme="minorHAnsi"/>
                <w:szCs w:val="22"/>
                <w:lang w:val="en-US"/>
              </w:rPr>
              <w:t>are</w:t>
            </w:r>
            <w:r w:rsidRPr="00EF4582">
              <w:rPr>
                <w:rFonts w:asciiTheme="minorHAnsi" w:hAnsiTheme="minorHAnsi" w:cstheme="minorHAnsi"/>
                <w:szCs w:val="22"/>
                <w:lang w:val="en-US"/>
              </w:rPr>
              <w:t xml:space="preserve"> specifically coached (changing their mindsets) on why platform processes take as long as they do, and what </w:t>
            </w:r>
            <w:r w:rsidR="00B81A19">
              <w:rPr>
                <w:rFonts w:asciiTheme="minorHAnsi" w:hAnsiTheme="minorHAnsi" w:cstheme="minorHAnsi"/>
                <w:szCs w:val="22"/>
                <w:lang w:val="en-US"/>
              </w:rPr>
              <w:t xml:space="preserve">the </w:t>
            </w:r>
            <w:r w:rsidRPr="00EF4582">
              <w:rPr>
                <w:rFonts w:asciiTheme="minorHAnsi" w:hAnsiTheme="minorHAnsi" w:cstheme="minorHAnsi"/>
                <w:szCs w:val="22"/>
                <w:lang w:val="en-US"/>
              </w:rPr>
              <w:t>benefit</w:t>
            </w:r>
            <w:r w:rsidR="00B81A19">
              <w:rPr>
                <w:rFonts w:asciiTheme="minorHAnsi" w:hAnsiTheme="minorHAnsi" w:cstheme="minorHAnsi"/>
                <w:szCs w:val="22"/>
                <w:lang w:val="en-US"/>
              </w:rPr>
              <w:t>s</w:t>
            </w:r>
            <w:r w:rsidRPr="00EF4582">
              <w:rPr>
                <w:rFonts w:asciiTheme="minorHAnsi" w:hAnsiTheme="minorHAnsi" w:cstheme="minorHAnsi"/>
                <w:szCs w:val="22"/>
                <w:lang w:val="en-US"/>
              </w:rPr>
              <w:t xml:space="preserve"> of this </w:t>
            </w:r>
            <w:r w:rsidR="00B81A19">
              <w:rPr>
                <w:rFonts w:asciiTheme="minorHAnsi" w:hAnsiTheme="minorHAnsi" w:cstheme="minorHAnsi"/>
                <w:szCs w:val="22"/>
                <w:lang w:val="en-US"/>
              </w:rPr>
              <w:t>are</w:t>
            </w:r>
            <w:r w:rsidRPr="00EF4582">
              <w:rPr>
                <w:rFonts w:asciiTheme="minorHAnsi" w:hAnsiTheme="minorHAnsi" w:cstheme="minorHAnsi"/>
                <w:szCs w:val="22"/>
                <w:lang w:val="en-US"/>
              </w:rPr>
              <w:t xml:space="preserve">. This was updated on Feb 6, 2015 in the GCP </w:t>
            </w:r>
            <w:proofErr w:type="spellStart"/>
            <w:r w:rsidRPr="00EF4582">
              <w:rPr>
                <w:rFonts w:asciiTheme="minorHAnsi" w:hAnsiTheme="minorHAnsi" w:cstheme="minorHAnsi"/>
                <w:szCs w:val="22"/>
                <w:lang w:val="en-US"/>
              </w:rPr>
              <w:t>Programme</w:t>
            </w:r>
            <w:proofErr w:type="spellEnd"/>
            <w:r w:rsidRPr="00EF4582">
              <w:rPr>
                <w:rFonts w:asciiTheme="minorHAnsi" w:hAnsiTheme="minorHAnsi" w:cstheme="minorHAnsi"/>
                <w:szCs w:val="22"/>
                <w:lang w:val="en-US"/>
              </w:rPr>
              <w:t xml:space="preserve"> Strategy 2015-2017.</w:t>
            </w:r>
            <w:r>
              <w:rPr>
                <w:rFonts w:asciiTheme="minorHAnsi" w:hAnsiTheme="minorHAnsi" w:cstheme="minorHAnsi"/>
                <w:szCs w:val="22"/>
                <w:lang w:val="en-US"/>
              </w:rPr>
              <w:t xml:space="preserve"> </w:t>
            </w:r>
            <w:r w:rsidRPr="00EF4582">
              <w:rPr>
                <w:rFonts w:asciiTheme="minorHAnsi" w:hAnsiTheme="minorHAnsi" w:cstheme="minorHAnsi"/>
                <w:szCs w:val="22"/>
                <w:lang w:val="en-US"/>
              </w:rPr>
              <w:t xml:space="preserve">Strong communications and progress on the ground </w:t>
            </w:r>
            <w:r>
              <w:rPr>
                <w:rFonts w:asciiTheme="minorHAnsi" w:hAnsiTheme="minorHAnsi" w:cstheme="minorHAnsi"/>
                <w:szCs w:val="22"/>
                <w:lang w:val="en-US"/>
              </w:rPr>
              <w:t>have</w:t>
            </w:r>
            <w:r w:rsidRPr="00EF4582">
              <w:rPr>
                <w:rFonts w:asciiTheme="minorHAnsi" w:hAnsiTheme="minorHAnsi" w:cstheme="minorHAnsi"/>
                <w:szCs w:val="22"/>
                <w:lang w:val="en-US"/>
              </w:rPr>
              <w:t xml:space="preserve"> maintained our credibility and positive reputation with partners.</w:t>
            </w:r>
          </w:p>
        </w:tc>
      </w:tr>
      <w:tr w:rsidR="00E306A0" w:rsidRPr="002F405C" w14:paraId="2E91B064" w14:textId="77777777" w:rsidTr="00D80D16">
        <w:tc>
          <w:tcPr>
            <w:tcW w:w="819" w:type="dxa"/>
            <w:tcBorders>
              <w:left w:val="single" w:sz="12" w:space="0" w:color="auto"/>
            </w:tcBorders>
          </w:tcPr>
          <w:p w14:paraId="2E91B05F" w14:textId="20A8B602"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6</w:t>
            </w:r>
          </w:p>
        </w:tc>
        <w:tc>
          <w:tcPr>
            <w:tcW w:w="2552" w:type="dxa"/>
            <w:tcBorders>
              <w:left w:val="single" w:sz="12" w:space="0" w:color="auto"/>
            </w:tcBorders>
          </w:tcPr>
          <w:p w14:paraId="2E91B060" w14:textId="1E071C71" w:rsidR="00E306A0" w:rsidRPr="00241FFA" w:rsidRDefault="00E306A0" w:rsidP="000B068B">
            <w:pPr>
              <w:jc w:val="left"/>
              <w:rPr>
                <w:rFonts w:asciiTheme="minorHAnsi" w:hAnsiTheme="minorHAnsi" w:cstheme="minorHAnsi"/>
                <w:szCs w:val="22"/>
                <w:lang w:val="en-US"/>
              </w:rPr>
            </w:pPr>
            <w:r w:rsidRPr="000B068B">
              <w:rPr>
                <w:rFonts w:asciiTheme="minorHAnsi" w:hAnsiTheme="minorHAnsi" w:cstheme="minorHAnsi"/>
                <w:szCs w:val="22"/>
                <w:lang w:val="en-US"/>
              </w:rPr>
              <w:t>Delays to delivery plans allow GCP competitors to copy ideas and crowd out the funding space.</w:t>
            </w:r>
          </w:p>
        </w:tc>
        <w:tc>
          <w:tcPr>
            <w:tcW w:w="1656" w:type="dxa"/>
          </w:tcPr>
          <w:p w14:paraId="2E91B061" w14:textId="11DAE190"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13/12/2016</w:t>
            </w:r>
          </w:p>
        </w:tc>
        <w:tc>
          <w:tcPr>
            <w:tcW w:w="1350" w:type="dxa"/>
          </w:tcPr>
          <w:p w14:paraId="2E91B062" w14:textId="150C01DE"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3443" w:type="dxa"/>
            <w:tcBorders>
              <w:right w:val="single" w:sz="12" w:space="0" w:color="auto"/>
            </w:tcBorders>
          </w:tcPr>
          <w:p w14:paraId="2E91B063" w14:textId="55CB1F58" w:rsidR="00E306A0" w:rsidRPr="00241FFA" w:rsidRDefault="00B81A19" w:rsidP="000B25B8">
            <w:pPr>
              <w:jc w:val="left"/>
              <w:rPr>
                <w:rFonts w:asciiTheme="minorHAnsi" w:hAnsiTheme="minorHAnsi" w:cstheme="minorHAnsi"/>
                <w:szCs w:val="22"/>
                <w:lang w:val="en-US"/>
              </w:rPr>
            </w:pPr>
            <w:r>
              <w:rPr>
                <w:rFonts w:asciiTheme="minorHAnsi" w:hAnsiTheme="minorHAnsi" w:cstheme="minorHAnsi"/>
                <w:szCs w:val="22"/>
                <w:lang w:val="en-US"/>
              </w:rPr>
              <w:t xml:space="preserve">GCP has invested in communicating our unique identity to potential </w:t>
            </w:r>
            <w:r w:rsidR="00760740">
              <w:rPr>
                <w:rFonts w:asciiTheme="minorHAnsi" w:hAnsiTheme="minorHAnsi" w:cstheme="minorHAnsi"/>
                <w:szCs w:val="22"/>
                <w:lang w:val="en-US"/>
              </w:rPr>
              <w:t xml:space="preserve">partners and </w:t>
            </w:r>
            <w:r>
              <w:rPr>
                <w:rFonts w:asciiTheme="minorHAnsi" w:hAnsiTheme="minorHAnsi" w:cstheme="minorHAnsi"/>
                <w:szCs w:val="22"/>
                <w:lang w:val="en-US"/>
              </w:rPr>
              <w:t xml:space="preserve">competitors </w:t>
            </w:r>
            <w:r w:rsidR="00760740">
              <w:rPr>
                <w:rFonts w:asciiTheme="minorHAnsi" w:hAnsiTheme="minorHAnsi" w:cstheme="minorHAnsi"/>
                <w:szCs w:val="22"/>
                <w:lang w:val="en-US"/>
              </w:rPr>
              <w:t xml:space="preserve">through a </w:t>
            </w:r>
            <w:r w:rsidR="00760740" w:rsidRPr="000B25B8">
              <w:rPr>
                <w:rFonts w:asciiTheme="minorHAnsi" w:hAnsiTheme="minorHAnsi" w:cstheme="minorHAnsi"/>
                <w:szCs w:val="22"/>
                <w:lang w:val="en-US"/>
              </w:rPr>
              <w:t xml:space="preserve">strategic review and a branding process. The GCP has developed a unique niche of </w:t>
            </w:r>
            <w:r w:rsidR="00606F1A" w:rsidRPr="000B25B8">
              <w:rPr>
                <w:rFonts w:asciiTheme="minorHAnsi" w:hAnsiTheme="minorHAnsi" w:cstheme="minorHAnsi"/>
                <w:szCs w:val="22"/>
                <w:lang w:val="en-US"/>
              </w:rPr>
              <w:t xml:space="preserve">with our approach to </w:t>
            </w:r>
            <w:r w:rsidR="000B25B8" w:rsidRPr="000B25B8">
              <w:rPr>
                <w:rFonts w:asciiTheme="minorHAnsi" w:hAnsiTheme="minorHAnsi" w:cstheme="minorHAnsi"/>
                <w:szCs w:val="22"/>
                <w:lang w:val="en-US"/>
              </w:rPr>
              <w:t>multi-stakeholder collaboration for systemic change, which</w:t>
            </w:r>
            <w:r w:rsidR="000B25B8">
              <w:rPr>
                <w:rFonts w:asciiTheme="minorHAnsi" w:hAnsiTheme="minorHAnsi" w:cstheme="minorHAnsi"/>
                <w:szCs w:val="22"/>
                <w:lang w:val="en-US"/>
              </w:rPr>
              <w:t xml:space="preserve"> sets the </w:t>
            </w:r>
            <w:proofErr w:type="spellStart"/>
            <w:r w:rsidR="000B25B8">
              <w:rPr>
                <w:rFonts w:asciiTheme="minorHAnsi" w:hAnsiTheme="minorHAnsi" w:cstheme="minorHAnsi"/>
                <w:szCs w:val="22"/>
                <w:lang w:val="en-US"/>
              </w:rPr>
              <w:t>programme</w:t>
            </w:r>
            <w:proofErr w:type="spellEnd"/>
            <w:r w:rsidR="000B25B8">
              <w:rPr>
                <w:rFonts w:asciiTheme="minorHAnsi" w:hAnsiTheme="minorHAnsi" w:cstheme="minorHAnsi"/>
                <w:szCs w:val="22"/>
                <w:lang w:val="en-US"/>
              </w:rPr>
              <w:t xml:space="preserve"> </w:t>
            </w:r>
            <w:proofErr w:type="spellStart"/>
            <w:r w:rsidR="000B25B8">
              <w:rPr>
                <w:rFonts w:asciiTheme="minorHAnsi" w:hAnsiTheme="minorHAnsi" w:cstheme="minorHAnsi"/>
                <w:szCs w:val="22"/>
                <w:lang w:val="en-US"/>
              </w:rPr>
              <w:t>appart</w:t>
            </w:r>
            <w:proofErr w:type="spellEnd"/>
            <w:r w:rsidR="000B25B8">
              <w:rPr>
                <w:rFonts w:asciiTheme="minorHAnsi" w:hAnsiTheme="minorHAnsi" w:cstheme="minorHAnsi"/>
                <w:szCs w:val="22"/>
                <w:lang w:val="en-US"/>
              </w:rPr>
              <w:t xml:space="preserve">. </w:t>
            </w:r>
            <w:r w:rsidR="00760740">
              <w:rPr>
                <w:rFonts w:asciiTheme="minorHAnsi" w:hAnsiTheme="minorHAnsi" w:cstheme="minorHAnsi"/>
                <w:color w:val="FF0000"/>
                <w:szCs w:val="22"/>
                <w:lang w:val="en-US"/>
              </w:rPr>
              <w:t xml:space="preserve"> </w:t>
            </w:r>
          </w:p>
        </w:tc>
      </w:tr>
      <w:tr w:rsidR="00E306A0" w:rsidRPr="002F405C" w14:paraId="131633DB" w14:textId="77777777" w:rsidTr="00D80D16">
        <w:tc>
          <w:tcPr>
            <w:tcW w:w="819" w:type="dxa"/>
            <w:tcBorders>
              <w:left w:val="single" w:sz="12" w:space="0" w:color="auto"/>
            </w:tcBorders>
          </w:tcPr>
          <w:p w14:paraId="15772848" w14:textId="55D01A45"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lastRenderedPageBreak/>
              <w:t>7</w:t>
            </w:r>
          </w:p>
        </w:tc>
        <w:tc>
          <w:tcPr>
            <w:tcW w:w="2552" w:type="dxa"/>
            <w:tcBorders>
              <w:left w:val="single" w:sz="12" w:space="0" w:color="auto"/>
            </w:tcBorders>
          </w:tcPr>
          <w:p w14:paraId="1751216F" w14:textId="73C94FBD" w:rsidR="00E306A0" w:rsidRDefault="00E306A0" w:rsidP="000B068B">
            <w:pPr>
              <w:jc w:val="left"/>
              <w:rPr>
                <w:rFonts w:asciiTheme="minorHAnsi" w:hAnsiTheme="minorHAnsi" w:cstheme="minorHAnsi"/>
                <w:szCs w:val="22"/>
                <w:lang w:val="en-US"/>
              </w:rPr>
            </w:pPr>
            <w:r>
              <w:rPr>
                <w:rFonts w:asciiTheme="minorHAnsi" w:hAnsiTheme="minorHAnsi" w:cstheme="minorHAnsi"/>
                <w:szCs w:val="22"/>
                <w:lang w:val="en-US"/>
              </w:rPr>
              <w:t xml:space="preserve">Group of coffee growers who don’t feel represented by the National Council for </w:t>
            </w:r>
            <w:proofErr w:type="gramStart"/>
            <w:r>
              <w:rPr>
                <w:rFonts w:asciiTheme="minorHAnsi" w:hAnsiTheme="minorHAnsi" w:cstheme="minorHAnsi"/>
                <w:szCs w:val="22"/>
                <w:lang w:val="en-US"/>
              </w:rPr>
              <w:t>Coffee, and</w:t>
            </w:r>
            <w:proofErr w:type="gramEnd"/>
            <w:r>
              <w:rPr>
                <w:rFonts w:asciiTheme="minorHAnsi" w:hAnsiTheme="minorHAnsi" w:cstheme="minorHAnsi"/>
                <w:szCs w:val="22"/>
                <w:lang w:val="en-US"/>
              </w:rPr>
              <w:t xml:space="preserve"> are looking for a space for national representation. </w:t>
            </w:r>
          </w:p>
        </w:tc>
        <w:tc>
          <w:tcPr>
            <w:tcW w:w="1656" w:type="dxa"/>
          </w:tcPr>
          <w:p w14:paraId="1E7C598C" w14:textId="0D04EBA4"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09/02/2017</w:t>
            </w:r>
          </w:p>
        </w:tc>
        <w:tc>
          <w:tcPr>
            <w:tcW w:w="1350" w:type="dxa"/>
          </w:tcPr>
          <w:p w14:paraId="23840882" w14:textId="10D0AE4D"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3443" w:type="dxa"/>
            <w:tcBorders>
              <w:right w:val="single" w:sz="12" w:space="0" w:color="auto"/>
            </w:tcBorders>
          </w:tcPr>
          <w:p w14:paraId="1B4722FE" w14:textId="30BB6A88"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 xml:space="preserve">Key stakeholders, including coffee growers, are invited to engage in dialogue, where facilitation can provide a space to feel heard and resolve conflict. </w:t>
            </w:r>
          </w:p>
        </w:tc>
      </w:tr>
    </w:tbl>
    <w:p w14:paraId="2E91B065" w14:textId="77777777" w:rsidR="00A338F7" w:rsidRDefault="00A338F7" w:rsidP="00FC2581">
      <w:pPr>
        <w:rPr>
          <w:rFonts w:asciiTheme="minorHAnsi" w:hAnsiTheme="minorHAnsi" w:cstheme="minorHAnsi"/>
          <w:szCs w:val="22"/>
          <w:lang w:val="en-US"/>
        </w:rPr>
      </w:pPr>
    </w:p>
    <w:p w14:paraId="2E91B066" w14:textId="77777777" w:rsidR="00A338F7" w:rsidRPr="002F405C" w:rsidRDefault="00A338F7" w:rsidP="00FC2581">
      <w:pPr>
        <w:rPr>
          <w:rFonts w:asciiTheme="minorHAnsi" w:hAnsiTheme="minorHAnsi" w:cstheme="minorHAnsi"/>
          <w:szCs w:val="22"/>
          <w:lang w:val="en-US"/>
        </w:rPr>
      </w:pPr>
    </w:p>
    <w:p w14:paraId="2E91B067" w14:textId="77777777" w:rsidR="006F1D48" w:rsidRPr="00B35454" w:rsidRDefault="009D4034" w:rsidP="00CE6BAC">
      <w:pPr>
        <w:numPr>
          <w:ilvl w:val="0"/>
          <w:numId w:val="18"/>
        </w:numPr>
        <w:tabs>
          <w:tab w:val="left" w:pos="4680"/>
        </w:tabs>
        <w:ind w:left="360"/>
        <w:rPr>
          <w:rFonts w:asciiTheme="minorHAnsi" w:hAnsiTheme="minorHAnsi" w:cstheme="minorHAnsi"/>
          <w:b/>
          <w:bCs/>
          <w:szCs w:val="22"/>
          <w:lang w:val="en-US"/>
        </w:rPr>
      </w:pPr>
      <w:r w:rsidRPr="00B35454">
        <w:rPr>
          <w:rFonts w:asciiTheme="minorHAnsi" w:hAnsiTheme="minorHAnsi" w:cstheme="minorHAnsi"/>
          <w:b/>
          <w:bCs/>
          <w:szCs w:val="22"/>
          <w:lang w:val="en-US"/>
        </w:rPr>
        <w:t>MAIN DIFFICULTIES IN THE EXECUTION</w:t>
      </w:r>
    </w:p>
    <w:p w14:paraId="2E91B068" w14:textId="77777777" w:rsidR="003A2C4D" w:rsidRPr="002F405C" w:rsidRDefault="003A2C4D" w:rsidP="003A2C4D">
      <w:pPr>
        <w:rPr>
          <w:rFonts w:asciiTheme="minorHAnsi" w:hAnsiTheme="minorHAnsi" w:cstheme="minorHAnsi"/>
          <w:b/>
          <w:bCs/>
          <w:szCs w:val="22"/>
          <w:lang w:val="en-US"/>
        </w:rPr>
      </w:pPr>
    </w:p>
    <w:tbl>
      <w:tblPr>
        <w:tblStyle w:val="TableGrid"/>
        <w:tblW w:w="10175" w:type="dxa"/>
        <w:tblInd w:w="-2" w:type="dxa"/>
        <w:tblLayout w:type="fixed"/>
        <w:tblLook w:val="01E0" w:firstRow="1" w:lastRow="1" w:firstColumn="1" w:lastColumn="1" w:noHBand="0" w:noVBand="0"/>
      </w:tblPr>
      <w:tblGrid>
        <w:gridCol w:w="819"/>
        <w:gridCol w:w="2693"/>
        <w:gridCol w:w="2127"/>
        <w:gridCol w:w="1559"/>
        <w:gridCol w:w="2977"/>
      </w:tblGrid>
      <w:tr w:rsidR="003A5CF9" w:rsidRPr="002F405C" w14:paraId="2E91B06E" w14:textId="77777777" w:rsidTr="004C74B4">
        <w:tc>
          <w:tcPr>
            <w:tcW w:w="819" w:type="dxa"/>
            <w:tcBorders>
              <w:top w:val="single" w:sz="12" w:space="0" w:color="auto"/>
              <w:left w:val="single" w:sz="12" w:space="0" w:color="auto"/>
            </w:tcBorders>
            <w:shd w:val="clear" w:color="auto" w:fill="C0C0C0"/>
          </w:tcPr>
          <w:p w14:paraId="2E91B069" w14:textId="77777777" w:rsidR="003A5CF9" w:rsidRPr="002F405C" w:rsidRDefault="00BA387F"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N0</w:t>
            </w:r>
            <w:r w:rsidR="003A5CF9" w:rsidRPr="002F405C">
              <w:rPr>
                <w:rFonts w:asciiTheme="minorHAnsi" w:hAnsiTheme="minorHAnsi" w:cstheme="minorHAnsi"/>
                <w:b/>
                <w:szCs w:val="22"/>
                <w:lang w:val="en-US"/>
              </w:rPr>
              <w:t>.</w:t>
            </w:r>
          </w:p>
        </w:tc>
        <w:tc>
          <w:tcPr>
            <w:tcW w:w="2693" w:type="dxa"/>
            <w:tcBorders>
              <w:top w:val="single" w:sz="12" w:space="0" w:color="auto"/>
              <w:left w:val="single" w:sz="12" w:space="0" w:color="auto"/>
            </w:tcBorders>
            <w:shd w:val="clear" w:color="auto" w:fill="C0C0C0"/>
          </w:tcPr>
          <w:p w14:paraId="2E91B06A"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2127" w:type="dxa"/>
            <w:tcBorders>
              <w:top w:val="single" w:sz="12" w:space="0" w:color="auto"/>
            </w:tcBorders>
            <w:shd w:val="clear" w:color="auto" w:fill="C0C0C0"/>
          </w:tcPr>
          <w:p w14:paraId="2E91B06B"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559" w:type="dxa"/>
            <w:tcBorders>
              <w:top w:val="single" w:sz="12" w:space="0" w:color="auto"/>
            </w:tcBorders>
            <w:shd w:val="clear" w:color="auto" w:fill="C0C0C0"/>
          </w:tcPr>
          <w:p w14:paraId="2E91B06C"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Type</w:t>
            </w:r>
          </w:p>
        </w:tc>
        <w:tc>
          <w:tcPr>
            <w:tcW w:w="2977" w:type="dxa"/>
            <w:tcBorders>
              <w:top w:val="single" w:sz="12" w:space="0" w:color="auto"/>
              <w:right w:val="single" w:sz="12" w:space="0" w:color="auto"/>
            </w:tcBorders>
            <w:shd w:val="clear" w:color="auto" w:fill="C0C0C0"/>
          </w:tcPr>
          <w:p w14:paraId="2E91B06D" w14:textId="77777777" w:rsidR="003A5CF9" w:rsidRPr="002F405C" w:rsidRDefault="007228F5"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Countermeasures adopted</w:t>
            </w:r>
          </w:p>
        </w:tc>
      </w:tr>
      <w:tr w:rsidR="00EA3AF2" w:rsidRPr="002F405C" w14:paraId="2E91B075" w14:textId="77777777" w:rsidTr="004C74B4">
        <w:tc>
          <w:tcPr>
            <w:tcW w:w="819" w:type="dxa"/>
            <w:tcBorders>
              <w:left w:val="single" w:sz="12" w:space="0" w:color="auto"/>
            </w:tcBorders>
          </w:tcPr>
          <w:p w14:paraId="2E91B06F" w14:textId="77777777" w:rsidR="00EA3AF2" w:rsidRPr="002F405C"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2693" w:type="dxa"/>
            <w:tcBorders>
              <w:left w:val="single" w:sz="12" w:space="0" w:color="auto"/>
            </w:tcBorders>
          </w:tcPr>
          <w:p w14:paraId="2E91B070" w14:textId="7D551EC2" w:rsidR="00EA3AF2" w:rsidRPr="00EA3AF2" w:rsidRDefault="00B35454" w:rsidP="009D6E76">
            <w:pPr>
              <w:jc w:val="left"/>
              <w:rPr>
                <w:rFonts w:ascii="Calibri" w:hAnsi="Calibri"/>
                <w:szCs w:val="22"/>
              </w:rPr>
            </w:pPr>
            <w:r>
              <w:rPr>
                <w:rFonts w:ascii="Calibri" w:hAnsi="Calibri"/>
                <w:szCs w:val="22"/>
              </w:rPr>
              <w:t xml:space="preserve">The GCP team continued to grow in 2018 after doubling in size in 2017.  This rapid team growth means that a few people hold significant institutional </w:t>
            </w:r>
            <w:proofErr w:type="gramStart"/>
            <w:r>
              <w:rPr>
                <w:rFonts w:ascii="Calibri" w:hAnsi="Calibri"/>
                <w:szCs w:val="22"/>
              </w:rPr>
              <w:t>memory</w:t>
            </w:r>
            <w:proofErr w:type="gramEnd"/>
            <w:r>
              <w:rPr>
                <w:rFonts w:ascii="Calibri" w:hAnsi="Calibri"/>
                <w:szCs w:val="22"/>
              </w:rPr>
              <w:t xml:space="preserve"> and many are learning together. At the same time, people are often unaware of what others are doing because of the decentralized structure of the team.</w:t>
            </w:r>
          </w:p>
        </w:tc>
        <w:tc>
          <w:tcPr>
            <w:tcW w:w="2127" w:type="dxa"/>
          </w:tcPr>
          <w:p w14:paraId="2E91B071" w14:textId="3D70BFD8" w:rsidR="00EA3AF2" w:rsidRPr="00EA3AF2" w:rsidRDefault="00E63423" w:rsidP="004C74B4">
            <w:pPr>
              <w:jc w:val="center"/>
              <w:rPr>
                <w:rFonts w:asciiTheme="minorHAnsi" w:hAnsiTheme="minorHAnsi" w:cstheme="minorHAnsi"/>
                <w:szCs w:val="22"/>
                <w:lang w:val="en-US"/>
              </w:rPr>
            </w:pPr>
            <w:r>
              <w:rPr>
                <w:rFonts w:asciiTheme="minorHAnsi" w:hAnsiTheme="minorHAnsi" w:cstheme="minorHAnsi"/>
                <w:szCs w:val="22"/>
                <w:lang w:val="en-US"/>
              </w:rPr>
              <w:t>01/05</w:t>
            </w:r>
            <w:r w:rsidR="009D6E76">
              <w:rPr>
                <w:rFonts w:asciiTheme="minorHAnsi" w:hAnsiTheme="minorHAnsi" w:cstheme="minorHAnsi"/>
                <w:szCs w:val="22"/>
                <w:lang w:val="en-US"/>
              </w:rPr>
              <w:t>/2017</w:t>
            </w:r>
          </w:p>
        </w:tc>
        <w:tc>
          <w:tcPr>
            <w:tcW w:w="1559" w:type="dxa"/>
          </w:tcPr>
          <w:p w14:paraId="2E91B073" w14:textId="7FAE70EC" w:rsidR="00EA3AF2" w:rsidRPr="00EA3AF2" w:rsidRDefault="009D6E76" w:rsidP="004C74B4">
            <w:pPr>
              <w:jc w:val="center"/>
              <w:rPr>
                <w:rFonts w:asciiTheme="minorHAnsi" w:hAnsiTheme="minorHAnsi" w:cstheme="minorHAnsi"/>
                <w:szCs w:val="22"/>
                <w:lang w:val="en-US"/>
              </w:rPr>
            </w:pPr>
            <w:r>
              <w:rPr>
                <w:rFonts w:asciiTheme="minorHAnsi" w:hAnsiTheme="minorHAnsi" w:cstheme="minorHAnsi"/>
                <w:szCs w:val="22"/>
                <w:lang w:val="en-US"/>
              </w:rPr>
              <w:t>Organizational</w:t>
            </w:r>
          </w:p>
        </w:tc>
        <w:tc>
          <w:tcPr>
            <w:tcW w:w="2977" w:type="dxa"/>
            <w:tcBorders>
              <w:right w:val="single" w:sz="12" w:space="0" w:color="auto"/>
            </w:tcBorders>
          </w:tcPr>
          <w:p w14:paraId="2E91B074" w14:textId="3253D555" w:rsidR="00EA3AF2" w:rsidRPr="00EA3AF2" w:rsidRDefault="00B35454" w:rsidP="0001500A">
            <w:pPr>
              <w:jc w:val="left"/>
              <w:rPr>
                <w:rFonts w:asciiTheme="minorHAnsi" w:hAnsiTheme="minorHAnsi" w:cstheme="minorHAnsi"/>
                <w:szCs w:val="22"/>
                <w:lang w:val="en-US"/>
              </w:rPr>
            </w:pPr>
            <w:r>
              <w:rPr>
                <w:rFonts w:asciiTheme="minorHAnsi" w:hAnsiTheme="minorHAnsi" w:cstheme="minorHAnsi"/>
                <w:szCs w:val="22"/>
                <w:lang w:val="en-US"/>
              </w:rPr>
              <w:t xml:space="preserve">Induction materials have been developed for new team members. </w:t>
            </w:r>
            <w:r w:rsidR="009D6E76">
              <w:rPr>
                <w:rFonts w:asciiTheme="minorHAnsi" w:hAnsiTheme="minorHAnsi" w:cstheme="minorHAnsi"/>
                <w:szCs w:val="22"/>
                <w:lang w:val="en-US"/>
              </w:rPr>
              <w:t xml:space="preserve">Monthly team calls provide a forum for discussion </w:t>
            </w:r>
            <w:r w:rsidR="00E63423">
              <w:rPr>
                <w:rFonts w:asciiTheme="minorHAnsi" w:hAnsiTheme="minorHAnsi" w:cstheme="minorHAnsi"/>
                <w:szCs w:val="22"/>
                <w:lang w:val="en-US"/>
              </w:rPr>
              <w:t xml:space="preserve">of challenges and achievements across the team. The in-person annual meeting </w:t>
            </w:r>
            <w:r>
              <w:rPr>
                <w:rFonts w:asciiTheme="minorHAnsi" w:hAnsiTheme="minorHAnsi" w:cstheme="minorHAnsi"/>
                <w:szCs w:val="22"/>
                <w:lang w:val="en-US"/>
              </w:rPr>
              <w:t>brings</w:t>
            </w:r>
            <w:r w:rsidR="00E63423">
              <w:rPr>
                <w:rFonts w:asciiTheme="minorHAnsi" w:hAnsiTheme="minorHAnsi" w:cstheme="minorHAnsi"/>
                <w:szCs w:val="22"/>
                <w:lang w:val="en-US"/>
              </w:rPr>
              <w:t xml:space="preserve"> everyone together and enabled greater collaboration and strategic planning</w:t>
            </w:r>
            <w:r>
              <w:rPr>
                <w:rFonts w:asciiTheme="minorHAnsi" w:hAnsiTheme="minorHAnsi" w:cstheme="minorHAnsi"/>
                <w:szCs w:val="22"/>
                <w:lang w:val="en-US"/>
              </w:rPr>
              <w:t>, as do the new mechanisms introduced to encourage team building and peer coaching</w:t>
            </w:r>
            <w:r w:rsidR="00E63423">
              <w:rPr>
                <w:rFonts w:asciiTheme="minorHAnsi" w:hAnsiTheme="minorHAnsi" w:cstheme="minorHAnsi"/>
                <w:szCs w:val="22"/>
                <w:lang w:val="en-US"/>
              </w:rPr>
              <w:t xml:space="preserve">. </w:t>
            </w:r>
            <w:r w:rsidR="0001500A">
              <w:rPr>
                <w:rFonts w:asciiTheme="minorHAnsi" w:hAnsiTheme="minorHAnsi" w:cstheme="minorHAnsi"/>
                <w:szCs w:val="22"/>
                <w:lang w:val="en-US"/>
              </w:rPr>
              <w:t xml:space="preserve">The </w:t>
            </w:r>
            <w:r w:rsidR="0001500A" w:rsidRPr="0001500A">
              <w:rPr>
                <w:rFonts w:asciiTheme="minorHAnsi" w:hAnsiTheme="minorHAnsi" w:cstheme="minorHAnsi"/>
                <w:szCs w:val="22"/>
                <w:lang w:val="en-US"/>
              </w:rPr>
              <w:t xml:space="preserve">GCP </w:t>
            </w:r>
            <w:r>
              <w:rPr>
                <w:rFonts w:asciiTheme="minorHAnsi" w:hAnsiTheme="minorHAnsi" w:cstheme="minorHAnsi"/>
                <w:szCs w:val="22"/>
                <w:lang w:val="en-US"/>
              </w:rPr>
              <w:t>M</w:t>
            </w:r>
            <w:r w:rsidR="0001500A" w:rsidRPr="0001500A">
              <w:rPr>
                <w:rFonts w:asciiTheme="minorHAnsi" w:hAnsiTheme="minorHAnsi" w:cstheme="minorHAnsi"/>
                <w:szCs w:val="22"/>
                <w:lang w:val="en-US"/>
              </w:rPr>
              <w:t>anagement</w:t>
            </w:r>
            <w:r w:rsidR="0001500A">
              <w:rPr>
                <w:rFonts w:asciiTheme="minorHAnsi" w:hAnsiTheme="minorHAnsi" w:cstheme="minorHAnsi"/>
                <w:szCs w:val="22"/>
                <w:lang w:val="en-US"/>
              </w:rPr>
              <w:t xml:space="preserve"> </w:t>
            </w:r>
            <w:r>
              <w:rPr>
                <w:rFonts w:asciiTheme="minorHAnsi" w:hAnsiTheme="minorHAnsi" w:cstheme="minorHAnsi"/>
                <w:szCs w:val="22"/>
                <w:lang w:val="en-US"/>
              </w:rPr>
              <w:t>C</w:t>
            </w:r>
            <w:r w:rsidR="0001500A">
              <w:rPr>
                <w:rFonts w:asciiTheme="minorHAnsi" w:hAnsiTheme="minorHAnsi" w:cstheme="minorHAnsi"/>
                <w:szCs w:val="22"/>
                <w:lang w:val="en-US"/>
              </w:rPr>
              <w:t>ommittee established in 2017</w:t>
            </w:r>
            <w:r w:rsidR="0001500A" w:rsidRPr="0001500A">
              <w:rPr>
                <w:rFonts w:asciiTheme="minorHAnsi" w:hAnsiTheme="minorHAnsi" w:cstheme="minorHAnsi"/>
                <w:szCs w:val="22"/>
                <w:lang w:val="en-US"/>
              </w:rPr>
              <w:t xml:space="preserve"> </w:t>
            </w:r>
            <w:r>
              <w:rPr>
                <w:rFonts w:asciiTheme="minorHAnsi" w:hAnsiTheme="minorHAnsi" w:cstheme="minorHAnsi"/>
                <w:szCs w:val="22"/>
                <w:lang w:val="en-US"/>
              </w:rPr>
              <w:t xml:space="preserve">has evolved into a Strategic Committee in </w:t>
            </w:r>
            <w:proofErr w:type="gramStart"/>
            <w:r>
              <w:rPr>
                <w:rFonts w:asciiTheme="minorHAnsi" w:hAnsiTheme="minorHAnsi" w:cstheme="minorHAnsi"/>
                <w:szCs w:val="22"/>
                <w:lang w:val="en-US"/>
              </w:rPr>
              <w:t>2018, and</w:t>
            </w:r>
            <w:proofErr w:type="gramEnd"/>
            <w:r>
              <w:rPr>
                <w:rFonts w:asciiTheme="minorHAnsi" w:hAnsiTheme="minorHAnsi" w:cstheme="minorHAnsi"/>
                <w:szCs w:val="22"/>
                <w:lang w:val="en-US"/>
              </w:rPr>
              <w:t xml:space="preserve"> </w:t>
            </w:r>
            <w:r w:rsidR="0001500A" w:rsidRPr="0001500A">
              <w:rPr>
                <w:rFonts w:asciiTheme="minorHAnsi" w:hAnsiTheme="minorHAnsi" w:cstheme="minorHAnsi"/>
                <w:szCs w:val="22"/>
                <w:lang w:val="en-US"/>
              </w:rPr>
              <w:t>support</w:t>
            </w:r>
            <w:r>
              <w:rPr>
                <w:rFonts w:asciiTheme="minorHAnsi" w:hAnsiTheme="minorHAnsi" w:cstheme="minorHAnsi"/>
                <w:szCs w:val="22"/>
                <w:lang w:val="en-US"/>
              </w:rPr>
              <w:t>s</w:t>
            </w:r>
            <w:r w:rsidR="0001500A" w:rsidRPr="0001500A">
              <w:rPr>
                <w:rFonts w:asciiTheme="minorHAnsi" w:hAnsiTheme="minorHAnsi" w:cstheme="minorHAnsi"/>
                <w:szCs w:val="22"/>
                <w:lang w:val="en-US"/>
              </w:rPr>
              <w:t xml:space="preserve"> the growth of the GCP team and its project portfolio</w:t>
            </w:r>
            <w:r>
              <w:rPr>
                <w:rFonts w:asciiTheme="minorHAnsi" w:hAnsiTheme="minorHAnsi" w:cstheme="minorHAnsi"/>
                <w:szCs w:val="22"/>
                <w:lang w:val="en-US"/>
              </w:rPr>
              <w:t xml:space="preserve"> in alignment with GCP strategic goals and values.  </w:t>
            </w:r>
          </w:p>
        </w:tc>
      </w:tr>
      <w:tr w:rsidR="00241FFA" w:rsidRPr="002F405C" w14:paraId="2E91B07B" w14:textId="77777777" w:rsidTr="004C74B4">
        <w:tc>
          <w:tcPr>
            <w:tcW w:w="819" w:type="dxa"/>
            <w:tcBorders>
              <w:left w:val="single" w:sz="12" w:space="0" w:color="auto"/>
            </w:tcBorders>
          </w:tcPr>
          <w:p w14:paraId="2E91B076"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2693" w:type="dxa"/>
            <w:tcBorders>
              <w:left w:val="single" w:sz="12" w:space="0" w:color="auto"/>
            </w:tcBorders>
          </w:tcPr>
          <w:p w14:paraId="2E91B077" w14:textId="2D8EF159" w:rsidR="00241FFA" w:rsidRPr="00EA3AF2" w:rsidRDefault="003B2CD3" w:rsidP="003B2CD3">
            <w:pPr>
              <w:jc w:val="left"/>
              <w:rPr>
                <w:rFonts w:asciiTheme="minorHAnsi" w:hAnsiTheme="minorHAnsi"/>
                <w:szCs w:val="22"/>
              </w:rPr>
            </w:pPr>
            <w:r>
              <w:rPr>
                <w:rFonts w:asciiTheme="minorHAnsi" w:hAnsiTheme="minorHAnsi"/>
                <w:szCs w:val="22"/>
              </w:rPr>
              <w:t xml:space="preserve">There are many important and worthwhile potential commodity platforms around the world, but with limited resources GCP is unable to pursue all of them. </w:t>
            </w:r>
          </w:p>
        </w:tc>
        <w:tc>
          <w:tcPr>
            <w:tcW w:w="2127" w:type="dxa"/>
          </w:tcPr>
          <w:p w14:paraId="2E91B078" w14:textId="0569D60C" w:rsidR="00241FFA" w:rsidRPr="00EA3AF2" w:rsidRDefault="003B2CD3" w:rsidP="003B2CD3">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79" w14:textId="4845463A" w:rsidR="00241FFA" w:rsidRPr="00EA3AF2" w:rsidRDefault="003B2CD3" w:rsidP="004C74B4">
            <w:pPr>
              <w:jc w:val="center"/>
              <w:rPr>
                <w:rFonts w:asciiTheme="minorHAnsi" w:hAnsiTheme="minorHAnsi" w:cstheme="minorHAnsi"/>
                <w:szCs w:val="22"/>
                <w:lang w:val="en-US"/>
              </w:rPr>
            </w:pPr>
            <w:r>
              <w:rPr>
                <w:rFonts w:asciiTheme="minorHAnsi" w:hAnsiTheme="minorHAnsi" w:cstheme="minorHAnsi"/>
                <w:szCs w:val="22"/>
                <w:lang w:val="en-US"/>
              </w:rPr>
              <w:t>Strategic</w:t>
            </w:r>
          </w:p>
        </w:tc>
        <w:tc>
          <w:tcPr>
            <w:tcW w:w="2977" w:type="dxa"/>
            <w:tcBorders>
              <w:right w:val="single" w:sz="12" w:space="0" w:color="auto"/>
            </w:tcBorders>
          </w:tcPr>
          <w:p w14:paraId="2E91B07A" w14:textId="17611168" w:rsidR="00241FFA" w:rsidRPr="00EA3AF2" w:rsidRDefault="003B2CD3" w:rsidP="00650A1C">
            <w:pPr>
              <w:jc w:val="left"/>
              <w:rPr>
                <w:rFonts w:asciiTheme="minorHAnsi" w:hAnsiTheme="minorHAnsi"/>
                <w:szCs w:val="22"/>
              </w:rPr>
            </w:pPr>
            <w:r>
              <w:rPr>
                <w:rFonts w:asciiTheme="minorHAnsi" w:hAnsiTheme="minorHAnsi"/>
                <w:szCs w:val="22"/>
              </w:rPr>
              <w:t>Ongoing strategic discussions ensure that GCP’s resources are devoted to the most relevant</w:t>
            </w:r>
            <w:r w:rsidR="00650A1C">
              <w:rPr>
                <w:rFonts w:asciiTheme="minorHAnsi" w:hAnsiTheme="minorHAnsi"/>
                <w:szCs w:val="22"/>
              </w:rPr>
              <w:t xml:space="preserve"> projects, that new projects align with the GCP Strategy. </w:t>
            </w:r>
          </w:p>
        </w:tc>
      </w:tr>
      <w:tr w:rsidR="00241FFA" w:rsidRPr="002F405C" w14:paraId="2E91B081" w14:textId="77777777" w:rsidTr="004C74B4">
        <w:tc>
          <w:tcPr>
            <w:tcW w:w="819" w:type="dxa"/>
            <w:tcBorders>
              <w:left w:val="single" w:sz="12" w:space="0" w:color="auto"/>
            </w:tcBorders>
          </w:tcPr>
          <w:p w14:paraId="2E91B07C"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2693" w:type="dxa"/>
            <w:tcBorders>
              <w:left w:val="single" w:sz="12" w:space="0" w:color="auto"/>
            </w:tcBorders>
          </w:tcPr>
          <w:p w14:paraId="2E91B07D" w14:textId="32BC250E" w:rsidR="00241FFA" w:rsidRPr="00EA3AF2" w:rsidRDefault="000B25B8" w:rsidP="000B25B8">
            <w:pPr>
              <w:jc w:val="left"/>
              <w:rPr>
                <w:rFonts w:asciiTheme="minorHAnsi" w:hAnsiTheme="minorHAnsi"/>
                <w:szCs w:val="22"/>
              </w:rPr>
            </w:pPr>
            <w:r>
              <w:rPr>
                <w:rFonts w:asciiTheme="minorHAnsi" w:hAnsiTheme="minorHAnsi"/>
                <w:szCs w:val="22"/>
              </w:rPr>
              <w:t xml:space="preserve">It can be difficult to pursue to new projects without secured funding because there is a chance of becoming overextended as a programme, and it can be difficult to secure reliable funding from year to year given project cycle timing. </w:t>
            </w:r>
          </w:p>
        </w:tc>
        <w:tc>
          <w:tcPr>
            <w:tcW w:w="2127" w:type="dxa"/>
          </w:tcPr>
          <w:p w14:paraId="2E91B07E" w14:textId="080E7AF1" w:rsidR="00241FFA" w:rsidRPr="00EA3AF2" w:rsidRDefault="000B25B8" w:rsidP="004C74B4">
            <w:pPr>
              <w:jc w:val="center"/>
              <w:rPr>
                <w:rFonts w:asciiTheme="minorHAnsi" w:hAnsiTheme="minorHAnsi" w:cstheme="minorHAnsi"/>
                <w:szCs w:val="22"/>
                <w:lang w:val="en-US"/>
              </w:rPr>
            </w:pPr>
            <w:r>
              <w:rPr>
                <w:rFonts w:asciiTheme="minorHAnsi" w:hAnsiTheme="minorHAnsi" w:cstheme="minorHAnsi"/>
                <w:szCs w:val="22"/>
                <w:lang w:val="en-US"/>
              </w:rPr>
              <w:t>16/11/2018</w:t>
            </w:r>
          </w:p>
        </w:tc>
        <w:tc>
          <w:tcPr>
            <w:tcW w:w="1559" w:type="dxa"/>
          </w:tcPr>
          <w:p w14:paraId="2E91B07F" w14:textId="1EDD2B9A" w:rsidR="00241FFA" w:rsidRPr="00EA3AF2" w:rsidRDefault="000B25B8" w:rsidP="004C74B4">
            <w:pPr>
              <w:jc w:val="center"/>
              <w:rPr>
                <w:rFonts w:asciiTheme="minorHAnsi" w:hAnsiTheme="minorHAnsi" w:cstheme="minorHAnsi"/>
                <w:szCs w:val="22"/>
                <w:lang w:val="en-US"/>
              </w:rPr>
            </w:pPr>
            <w:r>
              <w:rPr>
                <w:rFonts w:asciiTheme="minorHAnsi" w:hAnsiTheme="minorHAnsi" w:cstheme="minorHAnsi"/>
                <w:szCs w:val="22"/>
                <w:lang w:val="en-US"/>
              </w:rPr>
              <w:t>Financial</w:t>
            </w:r>
          </w:p>
        </w:tc>
        <w:tc>
          <w:tcPr>
            <w:tcW w:w="2977" w:type="dxa"/>
            <w:tcBorders>
              <w:right w:val="single" w:sz="12" w:space="0" w:color="auto"/>
            </w:tcBorders>
          </w:tcPr>
          <w:p w14:paraId="2E91B080" w14:textId="55D4213C" w:rsidR="00241FFA" w:rsidRPr="00EA3AF2" w:rsidRDefault="000B25B8" w:rsidP="000B25B8">
            <w:pPr>
              <w:jc w:val="left"/>
              <w:rPr>
                <w:rFonts w:asciiTheme="minorHAnsi" w:hAnsiTheme="minorHAnsi"/>
                <w:szCs w:val="22"/>
              </w:rPr>
            </w:pPr>
            <w:r>
              <w:rPr>
                <w:rFonts w:asciiTheme="minorHAnsi" w:hAnsiTheme="minorHAnsi"/>
                <w:szCs w:val="22"/>
              </w:rPr>
              <w:t xml:space="preserve">GCP has put in place a financial pipeline strategy that supports financial proposal development in early stages through proposal submission and approval. The GCP Strategic Committee advises and supports team members in which opportunities to prioritize, ensuring strategic alignment between future programming, current </w:t>
            </w:r>
            <w:r>
              <w:rPr>
                <w:rFonts w:asciiTheme="minorHAnsi" w:hAnsiTheme="minorHAnsi"/>
                <w:szCs w:val="22"/>
              </w:rPr>
              <w:lastRenderedPageBreak/>
              <w:t xml:space="preserve">projects, and maintaining financial support. </w:t>
            </w:r>
          </w:p>
        </w:tc>
      </w:tr>
    </w:tbl>
    <w:p w14:paraId="2E91B088" w14:textId="77777777" w:rsidR="003A5CF9" w:rsidRPr="002F405C" w:rsidRDefault="003A5CF9" w:rsidP="000C4DDD">
      <w:pPr>
        <w:rPr>
          <w:rFonts w:asciiTheme="minorHAnsi" w:hAnsiTheme="minorHAnsi" w:cstheme="minorHAnsi"/>
          <w:szCs w:val="22"/>
          <w:lang w:val="en-US"/>
        </w:rPr>
      </w:pPr>
    </w:p>
    <w:p w14:paraId="2E91B089" w14:textId="10B47793" w:rsidR="00896664" w:rsidRPr="00B35454" w:rsidRDefault="00C269BD" w:rsidP="00CE6BAC">
      <w:pPr>
        <w:numPr>
          <w:ilvl w:val="0"/>
          <w:numId w:val="18"/>
        </w:numPr>
        <w:tabs>
          <w:tab w:val="left" w:pos="4680"/>
        </w:tabs>
        <w:rPr>
          <w:rFonts w:asciiTheme="minorHAnsi" w:hAnsiTheme="minorHAnsi" w:cstheme="minorHAnsi"/>
          <w:b/>
          <w:bCs/>
          <w:szCs w:val="22"/>
          <w:lang w:val="en-US"/>
        </w:rPr>
      </w:pPr>
      <w:r w:rsidRPr="00B35454">
        <w:rPr>
          <w:rFonts w:asciiTheme="minorHAnsi" w:hAnsiTheme="minorHAnsi" w:cstheme="minorHAnsi"/>
          <w:b/>
          <w:bCs/>
          <w:szCs w:val="22"/>
          <w:lang w:val="en-US"/>
        </w:rPr>
        <w:t>NEXT YEAR CHALLENGES</w:t>
      </w:r>
      <w:r w:rsidR="00F3498E" w:rsidRPr="00B35454">
        <w:rPr>
          <w:rFonts w:asciiTheme="minorHAnsi" w:hAnsiTheme="minorHAnsi" w:cstheme="minorHAnsi"/>
          <w:b/>
          <w:bCs/>
          <w:szCs w:val="22"/>
          <w:lang w:val="en-US"/>
        </w:rPr>
        <w:t xml:space="preserve"> (201</w:t>
      </w:r>
      <w:r w:rsidR="00B35454">
        <w:rPr>
          <w:rFonts w:asciiTheme="minorHAnsi" w:hAnsiTheme="minorHAnsi" w:cstheme="minorHAnsi"/>
          <w:b/>
          <w:bCs/>
          <w:szCs w:val="22"/>
          <w:lang w:val="en-US"/>
        </w:rPr>
        <w:t>9</w:t>
      </w:r>
      <w:r w:rsidR="00EE6D76" w:rsidRPr="00B35454">
        <w:rPr>
          <w:rFonts w:asciiTheme="minorHAnsi" w:hAnsiTheme="minorHAnsi" w:cstheme="minorHAnsi"/>
          <w:b/>
          <w:bCs/>
          <w:szCs w:val="22"/>
          <w:lang w:val="en-US"/>
        </w:rPr>
        <w:t>)</w:t>
      </w:r>
    </w:p>
    <w:p w14:paraId="2E91B08A" w14:textId="77777777" w:rsidR="006F1D48" w:rsidRPr="002F405C" w:rsidRDefault="006F1D48" w:rsidP="006F1D48">
      <w:pPr>
        <w:tabs>
          <w:tab w:val="left" w:pos="4680"/>
        </w:tabs>
        <w:rPr>
          <w:rFonts w:asciiTheme="minorHAnsi" w:hAnsiTheme="minorHAnsi" w:cstheme="minorHAnsi"/>
          <w:b/>
          <w:bCs/>
          <w:szCs w:val="22"/>
          <w:lang w:val="en-US"/>
        </w:rPr>
      </w:pPr>
    </w:p>
    <w:tbl>
      <w:tblPr>
        <w:tblStyle w:val="TableGrid"/>
        <w:tblW w:w="10100" w:type="dxa"/>
        <w:tblInd w:w="-2" w:type="dxa"/>
        <w:tblBorders>
          <w:insideV w:val="single" w:sz="12" w:space="0" w:color="auto"/>
        </w:tblBorders>
        <w:tblLook w:val="01E0" w:firstRow="1" w:lastRow="1" w:firstColumn="1" w:lastColumn="1" w:noHBand="0" w:noVBand="0"/>
      </w:tblPr>
      <w:tblGrid>
        <w:gridCol w:w="550"/>
        <w:gridCol w:w="9550"/>
      </w:tblGrid>
      <w:tr w:rsidR="00C269BD" w:rsidRPr="002F405C" w14:paraId="2E91B08D" w14:textId="77777777" w:rsidTr="00C269BD">
        <w:tc>
          <w:tcPr>
            <w:tcW w:w="550" w:type="dxa"/>
            <w:tcBorders>
              <w:top w:val="single" w:sz="12" w:space="0" w:color="auto"/>
              <w:left w:val="single" w:sz="12" w:space="0" w:color="auto"/>
            </w:tcBorders>
            <w:shd w:val="clear" w:color="auto" w:fill="C0C0C0"/>
          </w:tcPr>
          <w:p w14:paraId="2E91B08B"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p>
        </w:tc>
        <w:tc>
          <w:tcPr>
            <w:tcW w:w="9550" w:type="dxa"/>
            <w:tcBorders>
              <w:top w:val="single" w:sz="12" w:space="0" w:color="auto"/>
              <w:right w:val="single" w:sz="12" w:space="0" w:color="auto"/>
            </w:tcBorders>
            <w:shd w:val="clear" w:color="auto" w:fill="C0C0C0"/>
          </w:tcPr>
          <w:p w14:paraId="2E91B08C"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r>
      <w:tr w:rsidR="00C269BD" w:rsidRPr="002F405C" w14:paraId="2E91B090" w14:textId="77777777" w:rsidTr="00C269BD">
        <w:tc>
          <w:tcPr>
            <w:tcW w:w="550" w:type="dxa"/>
            <w:tcBorders>
              <w:left w:val="single" w:sz="12" w:space="0" w:color="auto"/>
            </w:tcBorders>
          </w:tcPr>
          <w:p w14:paraId="2E91B08E" w14:textId="1A61E3B0" w:rsidR="00C269BD" w:rsidRPr="002F405C" w:rsidRDefault="00F3498E"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9550" w:type="dxa"/>
            <w:tcBorders>
              <w:right w:val="single" w:sz="12" w:space="0" w:color="auto"/>
            </w:tcBorders>
          </w:tcPr>
          <w:p w14:paraId="2E91B08F" w14:textId="10B2ACC9" w:rsidR="00C269BD" w:rsidRPr="00C269BD"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In the coming year the GCP team will support a growing </w:t>
            </w:r>
            <w:proofErr w:type="gramStart"/>
            <w:r>
              <w:rPr>
                <w:rFonts w:asciiTheme="minorHAnsi" w:hAnsiTheme="minorHAnsi" w:cstheme="minorHAnsi"/>
                <w:szCs w:val="22"/>
                <w:lang w:val="en-US"/>
              </w:rPr>
              <w:t>portfolio, and</w:t>
            </w:r>
            <w:proofErr w:type="gramEnd"/>
            <w:r>
              <w:rPr>
                <w:rFonts w:asciiTheme="minorHAnsi" w:hAnsiTheme="minorHAnsi" w:cstheme="minorHAnsi"/>
                <w:szCs w:val="22"/>
                <w:lang w:val="en-US"/>
              </w:rPr>
              <w:t xml:space="preserve"> will need to balance the needs of ongoing projects with those in the early phases of implementation as well as continuing to pursue future opportunities for engagement. </w:t>
            </w:r>
          </w:p>
        </w:tc>
      </w:tr>
      <w:tr w:rsidR="00C269BD" w:rsidRPr="002F405C" w14:paraId="2E91B093" w14:textId="77777777" w:rsidTr="004B252C">
        <w:tc>
          <w:tcPr>
            <w:tcW w:w="550" w:type="dxa"/>
            <w:tcBorders>
              <w:left w:val="single" w:sz="12" w:space="0" w:color="auto"/>
            </w:tcBorders>
          </w:tcPr>
          <w:p w14:paraId="2E91B091" w14:textId="319B66C6" w:rsidR="00C269BD" w:rsidRPr="002F405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9550" w:type="dxa"/>
            <w:tcBorders>
              <w:right w:val="single" w:sz="12" w:space="0" w:color="auto"/>
            </w:tcBorders>
          </w:tcPr>
          <w:p w14:paraId="2E91B092" w14:textId="31C285E8" w:rsidR="00C269BD" w:rsidRPr="002F405C" w:rsidRDefault="006E3F47" w:rsidP="004C74B4">
            <w:pPr>
              <w:rPr>
                <w:rFonts w:asciiTheme="minorHAnsi" w:hAnsiTheme="minorHAnsi" w:cstheme="minorHAnsi"/>
                <w:szCs w:val="22"/>
                <w:lang w:val="en-US"/>
              </w:rPr>
            </w:pPr>
            <w:r>
              <w:rPr>
                <w:rFonts w:asciiTheme="minorHAnsi" w:hAnsiTheme="minorHAnsi" w:cstheme="minorHAnsi"/>
                <w:szCs w:val="22"/>
                <w:lang w:val="en-US"/>
              </w:rPr>
              <w:t xml:space="preserve">Financial contributions are a key success factor for the </w:t>
            </w:r>
            <w:proofErr w:type="spellStart"/>
            <w:r>
              <w:rPr>
                <w:rFonts w:asciiTheme="minorHAnsi" w:hAnsiTheme="minorHAnsi" w:cstheme="minorHAnsi"/>
                <w:szCs w:val="22"/>
                <w:lang w:val="en-US"/>
              </w:rPr>
              <w:t>programme</w:t>
            </w:r>
            <w:proofErr w:type="spellEnd"/>
            <w:r>
              <w:rPr>
                <w:rFonts w:asciiTheme="minorHAnsi" w:hAnsiTheme="minorHAnsi" w:cstheme="minorHAnsi"/>
                <w:szCs w:val="22"/>
                <w:lang w:val="en-US"/>
              </w:rPr>
              <w:t xml:space="preserve">, and existing partnerships will continue to be strengthened while new partnerships are developed. </w:t>
            </w:r>
          </w:p>
        </w:tc>
      </w:tr>
      <w:tr w:rsidR="004B252C" w:rsidRPr="002F405C" w14:paraId="2E91B096" w14:textId="77777777" w:rsidTr="00C269BD">
        <w:tc>
          <w:tcPr>
            <w:tcW w:w="550" w:type="dxa"/>
            <w:tcBorders>
              <w:left w:val="single" w:sz="12" w:space="0" w:color="auto"/>
              <w:bottom w:val="single" w:sz="12" w:space="0" w:color="auto"/>
            </w:tcBorders>
          </w:tcPr>
          <w:p w14:paraId="2E91B094" w14:textId="0E97F62B" w:rsidR="004B252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9550" w:type="dxa"/>
            <w:tcBorders>
              <w:bottom w:val="single" w:sz="12" w:space="0" w:color="auto"/>
              <w:right w:val="single" w:sz="12" w:space="0" w:color="auto"/>
            </w:tcBorders>
          </w:tcPr>
          <w:p w14:paraId="2E91B095" w14:textId="12879258" w:rsidR="004B252C"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Political sensitivities around commodity issues are significant in some of the countries in which GCP operates, and the project will continue to build relationships and facilitate dialogue in order to enable successful implementation. </w:t>
            </w:r>
          </w:p>
        </w:tc>
      </w:tr>
    </w:tbl>
    <w:p w14:paraId="2E91B097" w14:textId="77777777" w:rsidR="006F1D48" w:rsidRDefault="006F1D48" w:rsidP="006F1D48">
      <w:pPr>
        <w:rPr>
          <w:rFonts w:asciiTheme="minorHAnsi" w:hAnsiTheme="minorHAnsi" w:cstheme="minorHAnsi"/>
          <w:szCs w:val="22"/>
          <w:lang w:val="en-US"/>
        </w:rPr>
      </w:pPr>
    </w:p>
    <w:p w14:paraId="5C94D52A" w14:textId="10CF7237" w:rsidR="00DE7BB1" w:rsidRPr="00B35454" w:rsidRDefault="00DE7BB1" w:rsidP="00DE7BB1">
      <w:pPr>
        <w:numPr>
          <w:ilvl w:val="0"/>
          <w:numId w:val="2"/>
        </w:numPr>
        <w:tabs>
          <w:tab w:val="left" w:pos="4680"/>
        </w:tabs>
        <w:rPr>
          <w:rFonts w:ascii="Myriad Pro" w:hAnsi="Myriad Pro" w:cs="Arial"/>
          <w:b/>
          <w:bCs/>
          <w:sz w:val="20"/>
          <w:szCs w:val="20"/>
          <w:lang w:val="es-PA"/>
        </w:rPr>
      </w:pPr>
      <w:r w:rsidRPr="00B35454">
        <w:rPr>
          <w:rFonts w:ascii="Myriad Pro" w:hAnsi="Myriad Pro" w:cs="Arial"/>
          <w:b/>
          <w:bCs/>
          <w:sz w:val="20"/>
          <w:szCs w:val="20"/>
          <w:lang w:val="es-PA"/>
        </w:rPr>
        <w:t>LESSONS LEARNED*</w:t>
      </w:r>
    </w:p>
    <w:p w14:paraId="54C29887" w14:textId="77777777" w:rsidR="00DE7BB1" w:rsidRPr="00C5101B" w:rsidRDefault="00DE7BB1" w:rsidP="00DE7BB1">
      <w:pPr>
        <w:tabs>
          <w:tab w:val="left" w:pos="4680"/>
        </w:tabs>
        <w:ind w:left="360"/>
        <w:rPr>
          <w:rFonts w:ascii="Myriad Pro" w:hAnsi="Myriad Pro" w:cs="Arial"/>
          <w:b/>
          <w:bCs/>
          <w:sz w:val="20"/>
          <w:szCs w:val="20"/>
          <w:lang w:val="es-PA"/>
        </w:rPr>
      </w:pPr>
    </w:p>
    <w:p w14:paraId="48625EF1" w14:textId="77777777" w:rsidR="00DE7BB1" w:rsidRPr="00C5101B" w:rsidRDefault="00DE7BB1" w:rsidP="008F2280">
      <w:pPr>
        <w:tabs>
          <w:tab w:val="left" w:pos="4680"/>
        </w:tabs>
        <w:outlineLvl w:val="0"/>
        <w:rPr>
          <w:rFonts w:ascii="Myriad Pro" w:hAnsi="Myriad Pro" w:cs="Arial"/>
          <w:sz w:val="20"/>
          <w:szCs w:val="20"/>
          <w:lang w:val="es-PA"/>
        </w:rPr>
      </w:pPr>
      <w:r w:rsidRPr="00C5101B">
        <w:rPr>
          <w:rFonts w:ascii="Myriad Pro" w:hAnsi="Myriad Pro" w:cs="Arial"/>
          <w:sz w:val="20"/>
          <w:szCs w:val="20"/>
          <w:lang w:val="es-PA"/>
        </w:rPr>
        <w:t>Describir brevemente las lecciones aprendidas durante el año.</w:t>
      </w:r>
    </w:p>
    <w:p w14:paraId="00E10C9C" w14:textId="77777777" w:rsidR="00DE7BB1" w:rsidRPr="00C5101B" w:rsidRDefault="00DE7BB1" w:rsidP="00DE7BB1">
      <w:pPr>
        <w:tabs>
          <w:tab w:val="left" w:pos="4680"/>
        </w:tabs>
        <w:rPr>
          <w:rFonts w:ascii="Myriad Pro" w:hAnsi="Myriad Pro" w:cs="Arial"/>
          <w:b/>
          <w:bCs/>
          <w:sz w:val="20"/>
          <w:szCs w:val="20"/>
          <w:lang w:val="es-PA"/>
        </w:rPr>
      </w:pPr>
    </w:p>
    <w:tbl>
      <w:tblPr>
        <w:tblStyle w:val="TableGrid"/>
        <w:tblW w:w="9820" w:type="dxa"/>
        <w:tblInd w:w="-2" w:type="dxa"/>
        <w:tblLook w:val="01E0" w:firstRow="1" w:lastRow="1" w:firstColumn="1" w:lastColumn="1" w:noHBand="0" w:noVBand="0"/>
      </w:tblPr>
      <w:tblGrid>
        <w:gridCol w:w="550"/>
        <w:gridCol w:w="5765"/>
        <w:gridCol w:w="3505"/>
      </w:tblGrid>
      <w:tr w:rsidR="00DE7BB1" w:rsidRPr="00C5101B" w14:paraId="5E6BE2E5" w14:textId="77777777" w:rsidTr="00E63423">
        <w:tc>
          <w:tcPr>
            <w:tcW w:w="550" w:type="dxa"/>
            <w:tcBorders>
              <w:top w:val="single" w:sz="12" w:space="0" w:color="auto"/>
              <w:left w:val="single" w:sz="12" w:space="0" w:color="auto"/>
            </w:tcBorders>
            <w:shd w:val="clear" w:color="auto" w:fill="C0C0C0"/>
          </w:tcPr>
          <w:p w14:paraId="54AD73F8" w14:textId="41EED42F"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No</w:t>
            </w:r>
            <w:r w:rsidRPr="00C5101B">
              <w:rPr>
                <w:rFonts w:ascii="Myriad Pro" w:hAnsi="Myriad Pro"/>
                <w:b/>
                <w:sz w:val="18"/>
                <w:szCs w:val="18"/>
                <w:lang w:val="es-PA"/>
              </w:rPr>
              <w:t>.</w:t>
            </w:r>
          </w:p>
        </w:tc>
        <w:tc>
          <w:tcPr>
            <w:tcW w:w="5765" w:type="dxa"/>
            <w:tcBorders>
              <w:top w:val="single" w:sz="12" w:space="0" w:color="auto"/>
              <w:left w:val="single" w:sz="12" w:space="0" w:color="auto"/>
            </w:tcBorders>
            <w:shd w:val="clear" w:color="auto" w:fill="C0C0C0"/>
          </w:tcPr>
          <w:p w14:paraId="1D46CCE2" w14:textId="7DA48A2E"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Description</w:t>
            </w:r>
          </w:p>
        </w:tc>
        <w:tc>
          <w:tcPr>
            <w:tcW w:w="3505" w:type="dxa"/>
            <w:tcBorders>
              <w:top w:val="single" w:sz="12" w:space="0" w:color="auto"/>
              <w:right w:val="single" w:sz="12" w:space="0" w:color="auto"/>
            </w:tcBorders>
            <w:shd w:val="clear" w:color="auto" w:fill="C0C0C0"/>
          </w:tcPr>
          <w:p w14:paraId="402ECC99" w14:textId="23D3334D"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Application</w:t>
            </w:r>
          </w:p>
        </w:tc>
      </w:tr>
      <w:tr w:rsidR="00DE7BB1" w:rsidRPr="00C5101B" w14:paraId="34094A07" w14:textId="77777777" w:rsidTr="00E63423">
        <w:tc>
          <w:tcPr>
            <w:tcW w:w="550" w:type="dxa"/>
            <w:tcBorders>
              <w:left w:val="single" w:sz="12" w:space="0" w:color="auto"/>
            </w:tcBorders>
          </w:tcPr>
          <w:p w14:paraId="6BEC58CF" w14:textId="77777777" w:rsidR="00DE7BB1" w:rsidRPr="00C5101B" w:rsidRDefault="00DE7BB1" w:rsidP="00E63423">
            <w:pPr>
              <w:jc w:val="center"/>
              <w:rPr>
                <w:sz w:val="18"/>
                <w:szCs w:val="18"/>
                <w:lang w:val="es-PA"/>
              </w:rPr>
            </w:pPr>
            <w:r w:rsidRPr="00C5101B">
              <w:rPr>
                <w:sz w:val="18"/>
                <w:szCs w:val="18"/>
                <w:lang w:val="es-PA"/>
              </w:rPr>
              <w:t>1</w:t>
            </w:r>
          </w:p>
        </w:tc>
        <w:tc>
          <w:tcPr>
            <w:tcW w:w="5765" w:type="dxa"/>
            <w:tcBorders>
              <w:left w:val="single" w:sz="12" w:space="0" w:color="auto"/>
            </w:tcBorders>
          </w:tcPr>
          <w:p w14:paraId="6517F36F" w14:textId="2C27843A" w:rsidR="00DE7BB1" w:rsidRPr="00B35454" w:rsidRDefault="00CE7680" w:rsidP="00E63423">
            <w:pPr>
              <w:rPr>
                <w:rFonts w:asciiTheme="minorHAnsi" w:hAnsiTheme="minorHAnsi" w:cstheme="minorHAnsi"/>
                <w:szCs w:val="22"/>
                <w:lang w:val="en-US"/>
              </w:rPr>
            </w:pPr>
            <w:r w:rsidRPr="00B35454">
              <w:rPr>
                <w:rFonts w:asciiTheme="minorHAnsi" w:hAnsiTheme="minorHAnsi" w:cstheme="minorHAnsi"/>
                <w:szCs w:val="22"/>
                <w:lang w:val="en-US"/>
              </w:rPr>
              <w:t xml:space="preserve">Dialogue and trust are crucial to the successful establishment and implementation of national commodity platforms, and each is an ongoing process. </w:t>
            </w:r>
          </w:p>
        </w:tc>
        <w:tc>
          <w:tcPr>
            <w:tcW w:w="3505" w:type="dxa"/>
            <w:tcBorders>
              <w:right w:val="single" w:sz="12" w:space="0" w:color="auto"/>
            </w:tcBorders>
          </w:tcPr>
          <w:p w14:paraId="62E2DB70" w14:textId="0F892A35" w:rsidR="00DE7BB1" w:rsidRPr="00B35454" w:rsidRDefault="00CE7680" w:rsidP="00E63423">
            <w:pPr>
              <w:rPr>
                <w:rFonts w:asciiTheme="minorHAnsi" w:hAnsiTheme="minorHAnsi" w:cstheme="minorHAnsi"/>
                <w:szCs w:val="22"/>
                <w:lang w:val="en-US"/>
              </w:rPr>
            </w:pPr>
            <w:r w:rsidRPr="00B35454">
              <w:rPr>
                <w:rFonts w:asciiTheme="minorHAnsi" w:hAnsiTheme="minorHAnsi" w:cstheme="minorHAnsi"/>
                <w:szCs w:val="22"/>
                <w:lang w:val="en-US"/>
              </w:rPr>
              <w:t xml:space="preserve">Potential future platforms will depend on </w:t>
            </w:r>
            <w:r w:rsidR="000A6C0A" w:rsidRPr="00B35454">
              <w:rPr>
                <w:rFonts w:asciiTheme="minorHAnsi" w:hAnsiTheme="minorHAnsi" w:cstheme="minorHAnsi"/>
                <w:szCs w:val="22"/>
                <w:lang w:val="en-US"/>
              </w:rPr>
              <w:t xml:space="preserve">the groundwork laid by stakeholder engagement and dialogue at all levels, and existing platforms will be strengthened by continued work in this area. </w:t>
            </w:r>
          </w:p>
        </w:tc>
      </w:tr>
      <w:tr w:rsidR="00DE7BB1" w:rsidRPr="00C5101B" w14:paraId="629628A6" w14:textId="77777777" w:rsidTr="00E63423">
        <w:tc>
          <w:tcPr>
            <w:tcW w:w="550" w:type="dxa"/>
            <w:tcBorders>
              <w:left w:val="single" w:sz="12" w:space="0" w:color="auto"/>
            </w:tcBorders>
          </w:tcPr>
          <w:p w14:paraId="6369CF6C" w14:textId="77777777" w:rsidR="00DE7BB1" w:rsidRPr="00C5101B" w:rsidRDefault="00DE7BB1" w:rsidP="00E63423">
            <w:pPr>
              <w:jc w:val="center"/>
              <w:rPr>
                <w:sz w:val="18"/>
                <w:szCs w:val="18"/>
                <w:lang w:val="es-PA"/>
              </w:rPr>
            </w:pPr>
            <w:r w:rsidRPr="00C5101B">
              <w:rPr>
                <w:sz w:val="18"/>
                <w:szCs w:val="18"/>
                <w:lang w:val="es-PA"/>
              </w:rPr>
              <w:t>2</w:t>
            </w:r>
          </w:p>
        </w:tc>
        <w:tc>
          <w:tcPr>
            <w:tcW w:w="5765" w:type="dxa"/>
            <w:tcBorders>
              <w:left w:val="single" w:sz="12" w:space="0" w:color="auto"/>
            </w:tcBorders>
          </w:tcPr>
          <w:p w14:paraId="6D475D1D" w14:textId="48228578" w:rsidR="00DE7BB1" w:rsidRPr="00B35454" w:rsidRDefault="00B35454" w:rsidP="00E63423">
            <w:pPr>
              <w:rPr>
                <w:rFonts w:asciiTheme="minorHAnsi" w:hAnsiTheme="minorHAnsi" w:cstheme="minorHAnsi"/>
                <w:szCs w:val="22"/>
                <w:lang w:val="en-US"/>
              </w:rPr>
            </w:pPr>
            <w:r>
              <w:rPr>
                <w:rFonts w:asciiTheme="minorHAnsi" w:hAnsiTheme="minorHAnsi" w:cstheme="minorHAnsi"/>
                <w:szCs w:val="22"/>
                <w:lang w:val="en-US"/>
              </w:rPr>
              <w:t xml:space="preserve">During the national commodity platform dialogue process, having more one-on-one </w:t>
            </w:r>
            <w:r w:rsidR="00EC0E12">
              <w:rPr>
                <w:rFonts w:asciiTheme="minorHAnsi" w:hAnsiTheme="minorHAnsi" w:cstheme="minorHAnsi"/>
                <w:szCs w:val="22"/>
                <w:lang w:val="en-US"/>
              </w:rPr>
              <w:t>formal and informal engagement</w:t>
            </w:r>
            <w:r>
              <w:rPr>
                <w:rFonts w:asciiTheme="minorHAnsi" w:hAnsiTheme="minorHAnsi" w:cstheme="minorHAnsi"/>
                <w:szCs w:val="22"/>
                <w:lang w:val="en-US"/>
              </w:rPr>
              <w:t xml:space="preserve"> with key stakeholders can expedite the relationship building process and the process of bringing key players together for multi-stakeholder dialogue. </w:t>
            </w:r>
          </w:p>
        </w:tc>
        <w:tc>
          <w:tcPr>
            <w:tcW w:w="3505" w:type="dxa"/>
            <w:tcBorders>
              <w:right w:val="single" w:sz="12" w:space="0" w:color="auto"/>
            </w:tcBorders>
          </w:tcPr>
          <w:p w14:paraId="65CC1D8A" w14:textId="35459577" w:rsidR="00DE7BB1" w:rsidRPr="00B35454" w:rsidRDefault="00B35454" w:rsidP="00E63423">
            <w:pPr>
              <w:rPr>
                <w:rFonts w:asciiTheme="minorHAnsi" w:hAnsiTheme="minorHAnsi" w:cstheme="minorHAnsi"/>
                <w:szCs w:val="22"/>
                <w:lang w:val="en-US"/>
              </w:rPr>
            </w:pPr>
            <w:r>
              <w:rPr>
                <w:rFonts w:asciiTheme="minorHAnsi" w:hAnsiTheme="minorHAnsi" w:cstheme="minorHAnsi"/>
                <w:szCs w:val="22"/>
                <w:lang w:val="en-US"/>
              </w:rPr>
              <w:t xml:space="preserve">This lesson was learned in Indonesia, Papua New Guinea, and Liberia, indicating it is relevant to many cultural and political contexts. It already exists in the GCP platform </w:t>
            </w:r>
            <w:proofErr w:type="gramStart"/>
            <w:r>
              <w:rPr>
                <w:rFonts w:asciiTheme="minorHAnsi" w:hAnsiTheme="minorHAnsi" w:cstheme="minorHAnsi"/>
                <w:szCs w:val="22"/>
                <w:lang w:val="en-US"/>
              </w:rPr>
              <w:t>guidance, but</w:t>
            </w:r>
            <w:proofErr w:type="gramEnd"/>
            <w:r>
              <w:rPr>
                <w:rFonts w:asciiTheme="minorHAnsi" w:hAnsiTheme="minorHAnsi" w:cstheme="minorHAnsi"/>
                <w:szCs w:val="22"/>
                <w:lang w:val="en-US"/>
              </w:rPr>
              <w:t xml:space="preserve"> will be emphasized more during platform trainings and through support to platform coordinators. </w:t>
            </w:r>
          </w:p>
        </w:tc>
      </w:tr>
      <w:tr w:rsidR="00DE7BB1" w:rsidRPr="00C5101B" w14:paraId="1FD63197" w14:textId="77777777" w:rsidTr="00E63423">
        <w:tc>
          <w:tcPr>
            <w:tcW w:w="550" w:type="dxa"/>
            <w:tcBorders>
              <w:left w:val="single" w:sz="12" w:space="0" w:color="auto"/>
              <w:bottom w:val="single" w:sz="12" w:space="0" w:color="auto"/>
            </w:tcBorders>
          </w:tcPr>
          <w:p w14:paraId="35A24943" w14:textId="63D29B24" w:rsidR="00DE7BB1" w:rsidRPr="00C5101B" w:rsidRDefault="00EC0E12" w:rsidP="00E63423">
            <w:pPr>
              <w:jc w:val="center"/>
              <w:rPr>
                <w:sz w:val="18"/>
                <w:szCs w:val="18"/>
                <w:lang w:val="es-PA"/>
              </w:rPr>
            </w:pPr>
            <w:r>
              <w:rPr>
                <w:sz w:val="18"/>
                <w:szCs w:val="18"/>
                <w:lang w:val="es-PA"/>
              </w:rPr>
              <w:t>3</w:t>
            </w:r>
          </w:p>
        </w:tc>
        <w:tc>
          <w:tcPr>
            <w:tcW w:w="5765" w:type="dxa"/>
            <w:tcBorders>
              <w:left w:val="single" w:sz="12" w:space="0" w:color="auto"/>
              <w:bottom w:val="single" w:sz="12" w:space="0" w:color="auto"/>
            </w:tcBorders>
          </w:tcPr>
          <w:p w14:paraId="2DE16AD4" w14:textId="160E7A44" w:rsidR="00DE7BB1" w:rsidRPr="00B35454" w:rsidRDefault="00EC0E12" w:rsidP="00E63423">
            <w:pPr>
              <w:rPr>
                <w:rFonts w:asciiTheme="minorHAnsi" w:hAnsiTheme="minorHAnsi" w:cstheme="minorHAnsi"/>
                <w:szCs w:val="22"/>
                <w:lang w:val="en-US"/>
              </w:rPr>
            </w:pPr>
            <w:r>
              <w:rPr>
                <w:rFonts w:asciiTheme="minorHAnsi" w:hAnsiTheme="minorHAnsi" w:cstheme="minorHAnsi"/>
                <w:szCs w:val="22"/>
                <w:lang w:val="en-US"/>
              </w:rPr>
              <w:t xml:space="preserve">Engaging in a new context such as cashmere in Mongolia has opened up new partnership opportunities for GCP. </w:t>
            </w:r>
          </w:p>
        </w:tc>
        <w:tc>
          <w:tcPr>
            <w:tcW w:w="3505" w:type="dxa"/>
            <w:tcBorders>
              <w:bottom w:val="single" w:sz="12" w:space="0" w:color="auto"/>
              <w:right w:val="single" w:sz="12" w:space="0" w:color="auto"/>
            </w:tcBorders>
          </w:tcPr>
          <w:p w14:paraId="3BCC188A" w14:textId="4D0FD969" w:rsidR="00DE7BB1" w:rsidRPr="00B35454" w:rsidRDefault="00EC0E12" w:rsidP="00E63423">
            <w:pPr>
              <w:rPr>
                <w:rFonts w:asciiTheme="minorHAnsi" w:hAnsiTheme="minorHAnsi" w:cstheme="minorHAnsi"/>
                <w:szCs w:val="22"/>
                <w:lang w:val="en-US"/>
              </w:rPr>
            </w:pPr>
            <w:r>
              <w:rPr>
                <w:rFonts w:asciiTheme="minorHAnsi" w:hAnsiTheme="minorHAnsi" w:cstheme="minorHAnsi"/>
                <w:szCs w:val="22"/>
                <w:lang w:val="en-US"/>
              </w:rPr>
              <w:t xml:space="preserve">There is a strategic risk to entering into a new context (country and commodity), but there are also opportunities that should be explored. Potential partners should be considered when assessing new opportunities. </w:t>
            </w:r>
          </w:p>
        </w:tc>
      </w:tr>
    </w:tbl>
    <w:p w14:paraId="2B3648D5" w14:textId="77777777" w:rsidR="00DE7BB1" w:rsidRPr="002F405C" w:rsidRDefault="00DE7BB1" w:rsidP="006F1D48">
      <w:pPr>
        <w:rPr>
          <w:rFonts w:asciiTheme="minorHAnsi" w:hAnsiTheme="minorHAnsi" w:cstheme="minorHAnsi"/>
          <w:szCs w:val="22"/>
          <w:lang w:val="en-US"/>
        </w:rPr>
      </w:pPr>
    </w:p>
    <w:sectPr w:rsidR="00DE7BB1" w:rsidRPr="002F405C" w:rsidSect="00C22F22">
      <w:footerReference w:type="even" r:id="rId13"/>
      <w:footerReference w:type="default" r:id="rId14"/>
      <w:pgSz w:w="11906" w:h="16838" w:code="9"/>
      <w:pgMar w:top="862" w:right="1151" w:bottom="862" w:left="1151" w:header="720" w:footer="431"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3246" w14:textId="77777777" w:rsidR="005D582D" w:rsidRDefault="005D582D">
      <w:r>
        <w:separator/>
      </w:r>
    </w:p>
  </w:endnote>
  <w:endnote w:type="continuationSeparator" w:id="0">
    <w:p w14:paraId="59AE9D21" w14:textId="77777777" w:rsidR="005D582D" w:rsidRDefault="005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B09C" w14:textId="77777777" w:rsidR="001A1AFB" w:rsidRDefault="001A1AFB"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1B09D" w14:textId="77777777" w:rsidR="001A1AFB" w:rsidRDefault="001A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B09E" w14:textId="78A749DB" w:rsidR="001A1AFB" w:rsidRDefault="001A1AFB"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91B09F" w14:textId="77777777" w:rsidR="001A1AFB" w:rsidRDefault="001A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6A3D" w14:textId="77777777" w:rsidR="005D582D" w:rsidRDefault="005D582D">
      <w:r>
        <w:separator/>
      </w:r>
    </w:p>
  </w:footnote>
  <w:footnote w:type="continuationSeparator" w:id="0">
    <w:p w14:paraId="2920D15D" w14:textId="77777777" w:rsidR="005D582D" w:rsidRDefault="005D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70"/>
    <w:multiLevelType w:val="hybridMultilevel"/>
    <w:tmpl w:val="4882137A"/>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1" w15:restartNumberingAfterBreak="0">
    <w:nsid w:val="024245BB"/>
    <w:multiLevelType w:val="hybridMultilevel"/>
    <w:tmpl w:val="6E24BFC2"/>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15:restartNumberingAfterBreak="0">
    <w:nsid w:val="06372337"/>
    <w:multiLevelType w:val="hybridMultilevel"/>
    <w:tmpl w:val="AFB8D3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74E6CD1"/>
    <w:multiLevelType w:val="hybridMultilevel"/>
    <w:tmpl w:val="96CE07D8"/>
    <w:lvl w:ilvl="0" w:tplc="180A0003">
      <w:start w:val="1"/>
      <w:numFmt w:val="bullet"/>
      <w:lvlText w:val="o"/>
      <w:lvlJc w:val="left"/>
      <w:pPr>
        <w:ind w:left="1463" w:hanging="360"/>
      </w:pPr>
      <w:rPr>
        <w:rFonts w:ascii="Courier New" w:hAnsi="Courier New" w:cs="Courier New" w:hint="default"/>
      </w:rPr>
    </w:lvl>
    <w:lvl w:ilvl="1" w:tplc="180A0003" w:tentative="1">
      <w:start w:val="1"/>
      <w:numFmt w:val="bullet"/>
      <w:lvlText w:val="o"/>
      <w:lvlJc w:val="left"/>
      <w:pPr>
        <w:ind w:left="2183" w:hanging="360"/>
      </w:pPr>
      <w:rPr>
        <w:rFonts w:ascii="Courier New" w:hAnsi="Courier New" w:cs="Courier New" w:hint="default"/>
      </w:rPr>
    </w:lvl>
    <w:lvl w:ilvl="2" w:tplc="180A0005" w:tentative="1">
      <w:start w:val="1"/>
      <w:numFmt w:val="bullet"/>
      <w:lvlText w:val=""/>
      <w:lvlJc w:val="left"/>
      <w:pPr>
        <w:ind w:left="2903" w:hanging="360"/>
      </w:pPr>
      <w:rPr>
        <w:rFonts w:ascii="Wingdings" w:hAnsi="Wingdings" w:hint="default"/>
      </w:rPr>
    </w:lvl>
    <w:lvl w:ilvl="3" w:tplc="180A0001" w:tentative="1">
      <w:start w:val="1"/>
      <w:numFmt w:val="bullet"/>
      <w:lvlText w:val=""/>
      <w:lvlJc w:val="left"/>
      <w:pPr>
        <w:ind w:left="3623" w:hanging="360"/>
      </w:pPr>
      <w:rPr>
        <w:rFonts w:ascii="Symbol" w:hAnsi="Symbol" w:hint="default"/>
      </w:rPr>
    </w:lvl>
    <w:lvl w:ilvl="4" w:tplc="180A0003" w:tentative="1">
      <w:start w:val="1"/>
      <w:numFmt w:val="bullet"/>
      <w:lvlText w:val="o"/>
      <w:lvlJc w:val="left"/>
      <w:pPr>
        <w:ind w:left="4343" w:hanging="360"/>
      </w:pPr>
      <w:rPr>
        <w:rFonts w:ascii="Courier New" w:hAnsi="Courier New" w:cs="Courier New" w:hint="default"/>
      </w:rPr>
    </w:lvl>
    <w:lvl w:ilvl="5" w:tplc="180A0005" w:tentative="1">
      <w:start w:val="1"/>
      <w:numFmt w:val="bullet"/>
      <w:lvlText w:val=""/>
      <w:lvlJc w:val="left"/>
      <w:pPr>
        <w:ind w:left="5063" w:hanging="360"/>
      </w:pPr>
      <w:rPr>
        <w:rFonts w:ascii="Wingdings" w:hAnsi="Wingdings" w:hint="default"/>
      </w:rPr>
    </w:lvl>
    <w:lvl w:ilvl="6" w:tplc="180A0001" w:tentative="1">
      <w:start w:val="1"/>
      <w:numFmt w:val="bullet"/>
      <w:lvlText w:val=""/>
      <w:lvlJc w:val="left"/>
      <w:pPr>
        <w:ind w:left="5783" w:hanging="360"/>
      </w:pPr>
      <w:rPr>
        <w:rFonts w:ascii="Symbol" w:hAnsi="Symbol" w:hint="default"/>
      </w:rPr>
    </w:lvl>
    <w:lvl w:ilvl="7" w:tplc="180A0003" w:tentative="1">
      <w:start w:val="1"/>
      <w:numFmt w:val="bullet"/>
      <w:lvlText w:val="o"/>
      <w:lvlJc w:val="left"/>
      <w:pPr>
        <w:ind w:left="6503" w:hanging="360"/>
      </w:pPr>
      <w:rPr>
        <w:rFonts w:ascii="Courier New" w:hAnsi="Courier New" w:cs="Courier New" w:hint="default"/>
      </w:rPr>
    </w:lvl>
    <w:lvl w:ilvl="8" w:tplc="180A0005" w:tentative="1">
      <w:start w:val="1"/>
      <w:numFmt w:val="bullet"/>
      <w:lvlText w:val=""/>
      <w:lvlJc w:val="left"/>
      <w:pPr>
        <w:ind w:left="7223" w:hanging="360"/>
      </w:pPr>
      <w:rPr>
        <w:rFonts w:ascii="Wingdings" w:hAnsi="Wingdings" w:hint="default"/>
      </w:rPr>
    </w:lvl>
  </w:abstractNum>
  <w:abstractNum w:abstractNumId="4" w15:restartNumberingAfterBreak="0">
    <w:nsid w:val="08665F11"/>
    <w:multiLevelType w:val="hybridMultilevel"/>
    <w:tmpl w:val="579A46B8"/>
    <w:lvl w:ilvl="0" w:tplc="0F26A9E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1669FC"/>
    <w:multiLevelType w:val="hybridMultilevel"/>
    <w:tmpl w:val="4E6CE9D8"/>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0246CE4"/>
    <w:multiLevelType w:val="hybridMultilevel"/>
    <w:tmpl w:val="057CC204"/>
    <w:lvl w:ilvl="0" w:tplc="04100001">
      <w:start w:val="1"/>
      <w:numFmt w:val="bullet"/>
      <w:lvlText w:val=""/>
      <w:lvlJc w:val="left"/>
      <w:pPr>
        <w:ind w:left="728" w:hanging="360"/>
      </w:pPr>
      <w:rPr>
        <w:rFonts w:ascii="Symbol" w:hAnsi="Symbol"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7" w15:restartNumberingAfterBreak="0">
    <w:nsid w:val="14FD63B7"/>
    <w:multiLevelType w:val="hybridMultilevel"/>
    <w:tmpl w:val="A9EC48A6"/>
    <w:lvl w:ilvl="0" w:tplc="C882BE4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F1520"/>
    <w:multiLevelType w:val="hybridMultilevel"/>
    <w:tmpl w:val="236EB47C"/>
    <w:lvl w:ilvl="0" w:tplc="180A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1A38D7"/>
    <w:multiLevelType w:val="hybridMultilevel"/>
    <w:tmpl w:val="A30EBF0C"/>
    <w:lvl w:ilvl="0" w:tplc="0C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1EE87250"/>
    <w:multiLevelType w:val="hybridMultilevel"/>
    <w:tmpl w:val="8E04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4365"/>
    <w:multiLevelType w:val="hybridMultilevel"/>
    <w:tmpl w:val="92B6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95795"/>
    <w:multiLevelType w:val="hybridMultilevel"/>
    <w:tmpl w:val="8D743B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2355D8A"/>
    <w:multiLevelType w:val="hybridMultilevel"/>
    <w:tmpl w:val="A5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84DB3"/>
    <w:multiLevelType w:val="hybridMultilevel"/>
    <w:tmpl w:val="26C23E86"/>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C4BB7"/>
    <w:multiLevelType w:val="hybridMultilevel"/>
    <w:tmpl w:val="BC440BC8"/>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370D30E3"/>
    <w:multiLevelType w:val="hybridMultilevel"/>
    <w:tmpl w:val="C4EE70DE"/>
    <w:lvl w:ilvl="0" w:tplc="F9C0CA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64DBD"/>
    <w:multiLevelType w:val="hybridMultilevel"/>
    <w:tmpl w:val="82A0A11C"/>
    <w:lvl w:ilvl="0" w:tplc="515E0FB2">
      <w:start w:val="3"/>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C357CB5"/>
    <w:multiLevelType w:val="hybridMultilevel"/>
    <w:tmpl w:val="194A8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6A0131"/>
    <w:multiLevelType w:val="hybridMultilevel"/>
    <w:tmpl w:val="D242AEE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412D16BE"/>
    <w:multiLevelType w:val="hybridMultilevel"/>
    <w:tmpl w:val="02F00774"/>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B9F54DA"/>
    <w:multiLevelType w:val="hybridMultilevel"/>
    <w:tmpl w:val="05F01844"/>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8266C"/>
    <w:multiLevelType w:val="hybridMultilevel"/>
    <w:tmpl w:val="8AC66D5E"/>
    <w:lvl w:ilvl="0" w:tplc="180A0003">
      <w:start w:val="1"/>
      <w:numFmt w:val="bullet"/>
      <w:lvlText w:val="o"/>
      <w:lvlJc w:val="left"/>
      <w:pPr>
        <w:ind w:left="1440" w:hanging="360"/>
      </w:pPr>
      <w:rPr>
        <w:rFonts w:ascii="Courier New" w:hAnsi="Courier New" w:cs="Courier New" w:hint="default"/>
      </w:rPr>
    </w:lvl>
    <w:lvl w:ilvl="1" w:tplc="AD32E66E">
      <w:numFmt w:val="bullet"/>
      <w:lvlText w:val="-"/>
      <w:lvlJc w:val="left"/>
      <w:pPr>
        <w:ind w:left="2520" w:hanging="720"/>
      </w:pPr>
      <w:rPr>
        <w:rFonts w:ascii="Calibri" w:eastAsia="Times New Roman" w:hAnsi="Calibri" w:cs="Calibri" w:hint="default"/>
      </w:rPr>
    </w:lvl>
    <w:lvl w:ilvl="2" w:tplc="4B0C6FB8">
      <w:numFmt w:val="bullet"/>
      <w:lvlText w:val="•"/>
      <w:lvlJc w:val="left"/>
      <w:pPr>
        <w:ind w:left="3240" w:hanging="720"/>
      </w:pPr>
      <w:rPr>
        <w:rFonts w:ascii="Calibri" w:eastAsia="Times New Roman" w:hAnsi="Calibri" w:cs="Calibri"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4" w15:restartNumberingAfterBreak="0">
    <w:nsid w:val="55863BA1"/>
    <w:multiLevelType w:val="hybridMultilevel"/>
    <w:tmpl w:val="CFD231E6"/>
    <w:lvl w:ilvl="0" w:tplc="9FD675D6">
      <w:start w:val="1"/>
      <w:numFmt w:val="bullet"/>
      <w:lvlText w:val=""/>
      <w:lvlJc w:val="left"/>
      <w:pPr>
        <w:ind w:left="720" w:hanging="360"/>
      </w:pPr>
      <w:rPr>
        <w:rFonts w:ascii="Symbol" w:hAnsi="Symbol" w:hint="default"/>
        <w:sz w:val="22"/>
        <w:szCs w:val="22"/>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5CF2CD1"/>
    <w:multiLevelType w:val="hybridMultilevel"/>
    <w:tmpl w:val="1B96A0A0"/>
    <w:lvl w:ilvl="0" w:tplc="CA42C41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A15"/>
    <w:multiLevelType w:val="hybridMultilevel"/>
    <w:tmpl w:val="F7DEB2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FA2085"/>
    <w:multiLevelType w:val="hybridMultilevel"/>
    <w:tmpl w:val="85D22EF2"/>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8" w15:restartNumberingAfterBreak="0">
    <w:nsid w:val="660476C6"/>
    <w:multiLevelType w:val="hybridMultilevel"/>
    <w:tmpl w:val="9006BDFE"/>
    <w:lvl w:ilvl="0" w:tplc="0F381B38">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9F4728A"/>
    <w:multiLevelType w:val="hybridMultilevel"/>
    <w:tmpl w:val="F036F1BE"/>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02E72F6"/>
    <w:multiLevelType w:val="hybridMultilevel"/>
    <w:tmpl w:val="17903EB0"/>
    <w:lvl w:ilvl="0" w:tplc="C882BE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3E4"/>
    <w:multiLevelType w:val="hybridMultilevel"/>
    <w:tmpl w:val="EF4AA0F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71A6628"/>
    <w:multiLevelType w:val="hybridMultilevel"/>
    <w:tmpl w:val="D7B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2375"/>
    <w:multiLevelType w:val="hybridMultilevel"/>
    <w:tmpl w:val="EBD2679E"/>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6"/>
  </w:num>
  <w:num w:numId="4">
    <w:abstractNumId w:val="2"/>
  </w:num>
  <w:num w:numId="5">
    <w:abstractNumId w:val="13"/>
  </w:num>
  <w:num w:numId="6">
    <w:abstractNumId w:val="24"/>
  </w:num>
  <w:num w:numId="7">
    <w:abstractNumId w:val="33"/>
  </w:num>
  <w:num w:numId="8">
    <w:abstractNumId w:val="1"/>
  </w:num>
  <w:num w:numId="9">
    <w:abstractNumId w:val="31"/>
  </w:num>
  <w:num w:numId="10">
    <w:abstractNumId w:val="23"/>
  </w:num>
  <w:num w:numId="11">
    <w:abstractNumId w:val="11"/>
  </w:num>
  <w:num w:numId="12">
    <w:abstractNumId w:val="9"/>
  </w:num>
  <w:num w:numId="13">
    <w:abstractNumId w:val="5"/>
  </w:num>
  <w:num w:numId="14">
    <w:abstractNumId w:val="27"/>
  </w:num>
  <w:num w:numId="15">
    <w:abstractNumId w:val="3"/>
  </w:num>
  <w:num w:numId="16">
    <w:abstractNumId w:val="20"/>
  </w:num>
  <w:num w:numId="17">
    <w:abstractNumId w:val="16"/>
  </w:num>
  <w:num w:numId="18">
    <w:abstractNumId w:val="18"/>
  </w:num>
  <w:num w:numId="19">
    <w:abstractNumId w:val="29"/>
  </w:num>
  <w:num w:numId="20">
    <w:abstractNumId w:val="0"/>
  </w:num>
  <w:num w:numId="21">
    <w:abstractNumId w:val="21"/>
  </w:num>
  <w:num w:numId="22">
    <w:abstractNumId w:val="10"/>
  </w:num>
  <w:num w:numId="23">
    <w:abstractNumId w:val="19"/>
  </w:num>
  <w:num w:numId="24">
    <w:abstractNumId w:val="12"/>
  </w:num>
  <w:num w:numId="25">
    <w:abstractNumId w:val="28"/>
  </w:num>
  <w:num w:numId="26">
    <w:abstractNumId w:val="6"/>
  </w:num>
  <w:num w:numId="27">
    <w:abstractNumId w:val="32"/>
  </w:num>
  <w:num w:numId="28">
    <w:abstractNumId w:val="7"/>
  </w:num>
  <w:num w:numId="29">
    <w:abstractNumId w:val="14"/>
  </w:num>
  <w:num w:numId="30">
    <w:abstractNumId w:val="25"/>
  </w:num>
  <w:num w:numId="31">
    <w:abstractNumId w:val="17"/>
  </w:num>
  <w:num w:numId="32">
    <w:abstractNumId w:val="15"/>
  </w:num>
  <w:num w:numId="33">
    <w:abstractNumId w:val="22"/>
  </w:num>
  <w:num w:numId="3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18D6"/>
    <w:rsid w:val="00002449"/>
    <w:rsid w:val="000025DB"/>
    <w:rsid w:val="000057AA"/>
    <w:rsid w:val="0001500A"/>
    <w:rsid w:val="00022DE9"/>
    <w:rsid w:val="0002794C"/>
    <w:rsid w:val="00031E16"/>
    <w:rsid w:val="000330FE"/>
    <w:rsid w:val="00036005"/>
    <w:rsid w:val="00040783"/>
    <w:rsid w:val="0004182D"/>
    <w:rsid w:val="00041D9E"/>
    <w:rsid w:val="000425EC"/>
    <w:rsid w:val="00043A90"/>
    <w:rsid w:val="00043E88"/>
    <w:rsid w:val="00044654"/>
    <w:rsid w:val="00044655"/>
    <w:rsid w:val="000461AF"/>
    <w:rsid w:val="0005168C"/>
    <w:rsid w:val="00052925"/>
    <w:rsid w:val="00055972"/>
    <w:rsid w:val="00055F84"/>
    <w:rsid w:val="0005747E"/>
    <w:rsid w:val="000575DF"/>
    <w:rsid w:val="00057654"/>
    <w:rsid w:val="000616C1"/>
    <w:rsid w:val="00062E78"/>
    <w:rsid w:val="00065B57"/>
    <w:rsid w:val="000671A6"/>
    <w:rsid w:val="00071D67"/>
    <w:rsid w:val="00072AD9"/>
    <w:rsid w:val="000734EF"/>
    <w:rsid w:val="000748FE"/>
    <w:rsid w:val="00074A04"/>
    <w:rsid w:val="00074AB2"/>
    <w:rsid w:val="0008309A"/>
    <w:rsid w:val="000950F7"/>
    <w:rsid w:val="000A0830"/>
    <w:rsid w:val="000A20CC"/>
    <w:rsid w:val="000A30EF"/>
    <w:rsid w:val="000A3286"/>
    <w:rsid w:val="000A60FE"/>
    <w:rsid w:val="000A6378"/>
    <w:rsid w:val="000A6C0A"/>
    <w:rsid w:val="000B068B"/>
    <w:rsid w:val="000B0D43"/>
    <w:rsid w:val="000B25B8"/>
    <w:rsid w:val="000B4F01"/>
    <w:rsid w:val="000B6775"/>
    <w:rsid w:val="000B6BEB"/>
    <w:rsid w:val="000C25AF"/>
    <w:rsid w:val="000C2E13"/>
    <w:rsid w:val="000C3922"/>
    <w:rsid w:val="000C4138"/>
    <w:rsid w:val="000C4DDD"/>
    <w:rsid w:val="000C5644"/>
    <w:rsid w:val="000C7ED8"/>
    <w:rsid w:val="000D418E"/>
    <w:rsid w:val="000D6CF4"/>
    <w:rsid w:val="000E2267"/>
    <w:rsid w:val="000E3993"/>
    <w:rsid w:val="000E4431"/>
    <w:rsid w:val="000E506E"/>
    <w:rsid w:val="000E5B39"/>
    <w:rsid w:val="000F04E1"/>
    <w:rsid w:val="000F45BD"/>
    <w:rsid w:val="000F75B7"/>
    <w:rsid w:val="0010180E"/>
    <w:rsid w:val="00111A6D"/>
    <w:rsid w:val="00114DB0"/>
    <w:rsid w:val="00115EED"/>
    <w:rsid w:val="001249D3"/>
    <w:rsid w:val="0012628D"/>
    <w:rsid w:val="0013014E"/>
    <w:rsid w:val="0013124C"/>
    <w:rsid w:val="00132A63"/>
    <w:rsid w:val="00132AE9"/>
    <w:rsid w:val="0013510F"/>
    <w:rsid w:val="001411C6"/>
    <w:rsid w:val="0014324A"/>
    <w:rsid w:val="00143F97"/>
    <w:rsid w:val="00144661"/>
    <w:rsid w:val="0014538F"/>
    <w:rsid w:val="00146350"/>
    <w:rsid w:val="00146DAE"/>
    <w:rsid w:val="001568FD"/>
    <w:rsid w:val="00156DE0"/>
    <w:rsid w:val="00167101"/>
    <w:rsid w:val="0016766E"/>
    <w:rsid w:val="001704C3"/>
    <w:rsid w:val="00173FC2"/>
    <w:rsid w:val="0018110F"/>
    <w:rsid w:val="00184266"/>
    <w:rsid w:val="00184AA4"/>
    <w:rsid w:val="00187A54"/>
    <w:rsid w:val="00192618"/>
    <w:rsid w:val="00192C31"/>
    <w:rsid w:val="00194BA9"/>
    <w:rsid w:val="001A1150"/>
    <w:rsid w:val="001A1AFB"/>
    <w:rsid w:val="001A2AB7"/>
    <w:rsid w:val="001B14E4"/>
    <w:rsid w:val="001B2442"/>
    <w:rsid w:val="001B5BD6"/>
    <w:rsid w:val="001C165F"/>
    <w:rsid w:val="001C5460"/>
    <w:rsid w:val="001D0B24"/>
    <w:rsid w:val="001D0C9F"/>
    <w:rsid w:val="001D0F8F"/>
    <w:rsid w:val="001D77E0"/>
    <w:rsid w:val="001E4A4F"/>
    <w:rsid w:val="001E580D"/>
    <w:rsid w:val="001E7DFF"/>
    <w:rsid w:val="001F059D"/>
    <w:rsid w:val="001F4B06"/>
    <w:rsid w:val="001F51F2"/>
    <w:rsid w:val="001F5A11"/>
    <w:rsid w:val="00204D44"/>
    <w:rsid w:val="00204E38"/>
    <w:rsid w:val="002078C3"/>
    <w:rsid w:val="00216441"/>
    <w:rsid w:val="0022029A"/>
    <w:rsid w:val="00221CCB"/>
    <w:rsid w:val="00221D96"/>
    <w:rsid w:val="002250C4"/>
    <w:rsid w:val="002255C0"/>
    <w:rsid w:val="00226D1B"/>
    <w:rsid w:val="002317AF"/>
    <w:rsid w:val="00231D43"/>
    <w:rsid w:val="00233370"/>
    <w:rsid w:val="00235F3D"/>
    <w:rsid w:val="00241FFA"/>
    <w:rsid w:val="00243024"/>
    <w:rsid w:val="00246539"/>
    <w:rsid w:val="00247233"/>
    <w:rsid w:val="00254F75"/>
    <w:rsid w:val="00262C4B"/>
    <w:rsid w:val="00262FD2"/>
    <w:rsid w:val="00264130"/>
    <w:rsid w:val="00266C83"/>
    <w:rsid w:val="00271321"/>
    <w:rsid w:val="00274AD6"/>
    <w:rsid w:val="002813BE"/>
    <w:rsid w:val="00283D3B"/>
    <w:rsid w:val="00284143"/>
    <w:rsid w:val="002849C4"/>
    <w:rsid w:val="00287D83"/>
    <w:rsid w:val="002906AA"/>
    <w:rsid w:val="00294746"/>
    <w:rsid w:val="0029768C"/>
    <w:rsid w:val="00297FC5"/>
    <w:rsid w:val="002A140D"/>
    <w:rsid w:val="002A1FF7"/>
    <w:rsid w:val="002A6344"/>
    <w:rsid w:val="002A7441"/>
    <w:rsid w:val="002C133E"/>
    <w:rsid w:val="002C338F"/>
    <w:rsid w:val="002C45A5"/>
    <w:rsid w:val="002C4A32"/>
    <w:rsid w:val="002C66AD"/>
    <w:rsid w:val="002C6D16"/>
    <w:rsid w:val="002D17F8"/>
    <w:rsid w:val="002D1FA1"/>
    <w:rsid w:val="002D2BC8"/>
    <w:rsid w:val="002D49DD"/>
    <w:rsid w:val="002D734B"/>
    <w:rsid w:val="002D7ADF"/>
    <w:rsid w:val="002E35A1"/>
    <w:rsid w:val="002E46AC"/>
    <w:rsid w:val="002F405C"/>
    <w:rsid w:val="002F7843"/>
    <w:rsid w:val="00302288"/>
    <w:rsid w:val="003027DB"/>
    <w:rsid w:val="00305D92"/>
    <w:rsid w:val="0030798F"/>
    <w:rsid w:val="00311087"/>
    <w:rsid w:val="003149E3"/>
    <w:rsid w:val="00314B45"/>
    <w:rsid w:val="00315ADA"/>
    <w:rsid w:val="00320666"/>
    <w:rsid w:val="00321457"/>
    <w:rsid w:val="00323613"/>
    <w:rsid w:val="00327CD2"/>
    <w:rsid w:val="003300C6"/>
    <w:rsid w:val="003315F6"/>
    <w:rsid w:val="00331A6D"/>
    <w:rsid w:val="00333264"/>
    <w:rsid w:val="0033339B"/>
    <w:rsid w:val="00335154"/>
    <w:rsid w:val="00335A24"/>
    <w:rsid w:val="00340E23"/>
    <w:rsid w:val="003430F5"/>
    <w:rsid w:val="00344A43"/>
    <w:rsid w:val="00345145"/>
    <w:rsid w:val="003522ED"/>
    <w:rsid w:val="00356E10"/>
    <w:rsid w:val="00356EF8"/>
    <w:rsid w:val="003574FD"/>
    <w:rsid w:val="00362CF8"/>
    <w:rsid w:val="0036466D"/>
    <w:rsid w:val="0037132E"/>
    <w:rsid w:val="003714D3"/>
    <w:rsid w:val="00371ACB"/>
    <w:rsid w:val="00373289"/>
    <w:rsid w:val="003747AD"/>
    <w:rsid w:val="003758BF"/>
    <w:rsid w:val="00386971"/>
    <w:rsid w:val="00386F0D"/>
    <w:rsid w:val="00387FFA"/>
    <w:rsid w:val="003908BC"/>
    <w:rsid w:val="00391B89"/>
    <w:rsid w:val="00394C21"/>
    <w:rsid w:val="00396601"/>
    <w:rsid w:val="00396EB2"/>
    <w:rsid w:val="003A2724"/>
    <w:rsid w:val="003A2C4D"/>
    <w:rsid w:val="003A3CEA"/>
    <w:rsid w:val="003A5620"/>
    <w:rsid w:val="003A5CF9"/>
    <w:rsid w:val="003A7F04"/>
    <w:rsid w:val="003B2CD3"/>
    <w:rsid w:val="003B6C72"/>
    <w:rsid w:val="003B7771"/>
    <w:rsid w:val="003C3919"/>
    <w:rsid w:val="003C5AE4"/>
    <w:rsid w:val="003D12A8"/>
    <w:rsid w:val="003D52BE"/>
    <w:rsid w:val="003D5A97"/>
    <w:rsid w:val="003E6852"/>
    <w:rsid w:val="003F0B9F"/>
    <w:rsid w:val="003F1A02"/>
    <w:rsid w:val="003F2425"/>
    <w:rsid w:val="003F2C16"/>
    <w:rsid w:val="003F5763"/>
    <w:rsid w:val="003F77BC"/>
    <w:rsid w:val="00405F1C"/>
    <w:rsid w:val="00407E6B"/>
    <w:rsid w:val="004126D8"/>
    <w:rsid w:val="0041296B"/>
    <w:rsid w:val="004130F4"/>
    <w:rsid w:val="0041434F"/>
    <w:rsid w:val="0041496B"/>
    <w:rsid w:val="00417039"/>
    <w:rsid w:val="00420A6E"/>
    <w:rsid w:val="00423E22"/>
    <w:rsid w:val="00424483"/>
    <w:rsid w:val="0043065E"/>
    <w:rsid w:val="00431216"/>
    <w:rsid w:val="0043121A"/>
    <w:rsid w:val="0043514A"/>
    <w:rsid w:val="0044455F"/>
    <w:rsid w:val="00444D09"/>
    <w:rsid w:val="00445633"/>
    <w:rsid w:val="00446B0C"/>
    <w:rsid w:val="004501B9"/>
    <w:rsid w:val="00450D2A"/>
    <w:rsid w:val="004513CD"/>
    <w:rsid w:val="00453D4C"/>
    <w:rsid w:val="004600B1"/>
    <w:rsid w:val="00471898"/>
    <w:rsid w:val="00474707"/>
    <w:rsid w:val="0048219A"/>
    <w:rsid w:val="00482983"/>
    <w:rsid w:val="00492494"/>
    <w:rsid w:val="004939D4"/>
    <w:rsid w:val="0049415E"/>
    <w:rsid w:val="004944A9"/>
    <w:rsid w:val="004A5DD0"/>
    <w:rsid w:val="004A6D06"/>
    <w:rsid w:val="004B0A01"/>
    <w:rsid w:val="004B252C"/>
    <w:rsid w:val="004C383B"/>
    <w:rsid w:val="004C427B"/>
    <w:rsid w:val="004C5CFE"/>
    <w:rsid w:val="004C74B4"/>
    <w:rsid w:val="004C7879"/>
    <w:rsid w:val="004D0C60"/>
    <w:rsid w:val="004D16E4"/>
    <w:rsid w:val="004D2D52"/>
    <w:rsid w:val="004D2D91"/>
    <w:rsid w:val="004D5A89"/>
    <w:rsid w:val="004D726C"/>
    <w:rsid w:val="004E4248"/>
    <w:rsid w:val="004E6A3F"/>
    <w:rsid w:val="004F2706"/>
    <w:rsid w:val="004F28ED"/>
    <w:rsid w:val="004F2A0D"/>
    <w:rsid w:val="004F310C"/>
    <w:rsid w:val="004F48C2"/>
    <w:rsid w:val="00504C8F"/>
    <w:rsid w:val="005106F3"/>
    <w:rsid w:val="00510D58"/>
    <w:rsid w:val="005158BD"/>
    <w:rsid w:val="00521C0D"/>
    <w:rsid w:val="00521FA0"/>
    <w:rsid w:val="005225ED"/>
    <w:rsid w:val="00522918"/>
    <w:rsid w:val="0052498F"/>
    <w:rsid w:val="00525831"/>
    <w:rsid w:val="005279BA"/>
    <w:rsid w:val="00533B03"/>
    <w:rsid w:val="00535EAA"/>
    <w:rsid w:val="00541448"/>
    <w:rsid w:val="00544A61"/>
    <w:rsid w:val="00546D04"/>
    <w:rsid w:val="00553BA7"/>
    <w:rsid w:val="00553CF5"/>
    <w:rsid w:val="0055510E"/>
    <w:rsid w:val="00556C66"/>
    <w:rsid w:val="00562605"/>
    <w:rsid w:val="00564A61"/>
    <w:rsid w:val="00565CE1"/>
    <w:rsid w:val="00567A40"/>
    <w:rsid w:val="005700C9"/>
    <w:rsid w:val="005722AF"/>
    <w:rsid w:val="00573FB1"/>
    <w:rsid w:val="005859CD"/>
    <w:rsid w:val="005864F9"/>
    <w:rsid w:val="00586716"/>
    <w:rsid w:val="00590EC3"/>
    <w:rsid w:val="005926B6"/>
    <w:rsid w:val="00596ADB"/>
    <w:rsid w:val="005A0D2D"/>
    <w:rsid w:val="005A0DA0"/>
    <w:rsid w:val="005A543F"/>
    <w:rsid w:val="005A68A9"/>
    <w:rsid w:val="005A6DC4"/>
    <w:rsid w:val="005A7714"/>
    <w:rsid w:val="005B1DA5"/>
    <w:rsid w:val="005B2A0B"/>
    <w:rsid w:val="005B369A"/>
    <w:rsid w:val="005B63CB"/>
    <w:rsid w:val="005C44F6"/>
    <w:rsid w:val="005C5B53"/>
    <w:rsid w:val="005D16B3"/>
    <w:rsid w:val="005D22B6"/>
    <w:rsid w:val="005D296B"/>
    <w:rsid w:val="005D582D"/>
    <w:rsid w:val="005D604D"/>
    <w:rsid w:val="005D77E2"/>
    <w:rsid w:val="005E2FC5"/>
    <w:rsid w:val="005E4874"/>
    <w:rsid w:val="005E4DC8"/>
    <w:rsid w:val="005E75B0"/>
    <w:rsid w:val="005F1879"/>
    <w:rsid w:val="005F2681"/>
    <w:rsid w:val="005F41A2"/>
    <w:rsid w:val="00600D55"/>
    <w:rsid w:val="00603A45"/>
    <w:rsid w:val="00606F1A"/>
    <w:rsid w:val="006120F1"/>
    <w:rsid w:val="00614091"/>
    <w:rsid w:val="00615FEA"/>
    <w:rsid w:val="00620E49"/>
    <w:rsid w:val="00623E19"/>
    <w:rsid w:val="00625181"/>
    <w:rsid w:val="00626B6E"/>
    <w:rsid w:val="00630807"/>
    <w:rsid w:val="006315EC"/>
    <w:rsid w:val="00634C6E"/>
    <w:rsid w:val="00635FA2"/>
    <w:rsid w:val="00642824"/>
    <w:rsid w:val="006428D0"/>
    <w:rsid w:val="006432DA"/>
    <w:rsid w:val="00647B40"/>
    <w:rsid w:val="00650A1C"/>
    <w:rsid w:val="00651207"/>
    <w:rsid w:val="00654986"/>
    <w:rsid w:val="00655590"/>
    <w:rsid w:val="00657CAB"/>
    <w:rsid w:val="006615C8"/>
    <w:rsid w:val="006625E1"/>
    <w:rsid w:val="00662960"/>
    <w:rsid w:val="006634DE"/>
    <w:rsid w:val="006652F5"/>
    <w:rsid w:val="00665FAC"/>
    <w:rsid w:val="00666122"/>
    <w:rsid w:val="006703D0"/>
    <w:rsid w:val="00671941"/>
    <w:rsid w:val="006729B4"/>
    <w:rsid w:val="00681937"/>
    <w:rsid w:val="00684CEC"/>
    <w:rsid w:val="006869E5"/>
    <w:rsid w:val="006907D9"/>
    <w:rsid w:val="0069230B"/>
    <w:rsid w:val="006A05E3"/>
    <w:rsid w:val="006A0D7F"/>
    <w:rsid w:val="006A3F94"/>
    <w:rsid w:val="006B2B5A"/>
    <w:rsid w:val="006B551E"/>
    <w:rsid w:val="006C2300"/>
    <w:rsid w:val="006C3698"/>
    <w:rsid w:val="006D1245"/>
    <w:rsid w:val="006D2C73"/>
    <w:rsid w:val="006D6B37"/>
    <w:rsid w:val="006E1C1B"/>
    <w:rsid w:val="006E3197"/>
    <w:rsid w:val="006E3F47"/>
    <w:rsid w:val="006F1BDA"/>
    <w:rsid w:val="006F1D48"/>
    <w:rsid w:val="006F2142"/>
    <w:rsid w:val="006F2407"/>
    <w:rsid w:val="006F3B57"/>
    <w:rsid w:val="006F3EC0"/>
    <w:rsid w:val="006F430E"/>
    <w:rsid w:val="006F47AD"/>
    <w:rsid w:val="006F5111"/>
    <w:rsid w:val="006F7B1F"/>
    <w:rsid w:val="007008FA"/>
    <w:rsid w:val="00700A26"/>
    <w:rsid w:val="00700B39"/>
    <w:rsid w:val="00700D7C"/>
    <w:rsid w:val="007043FF"/>
    <w:rsid w:val="007052F9"/>
    <w:rsid w:val="00710722"/>
    <w:rsid w:val="00715EDA"/>
    <w:rsid w:val="0071724A"/>
    <w:rsid w:val="007228F5"/>
    <w:rsid w:val="00725C6B"/>
    <w:rsid w:val="007358E7"/>
    <w:rsid w:val="00736045"/>
    <w:rsid w:val="00741286"/>
    <w:rsid w:val="007473E3"/>
    <w:rsid w:val="007509B7"/>
    <w:rsid w:val="00753CC9"/>
    <w:rsid w:val="007546CE"/>
    <w:rsid w:val="00760587"/>
    <w:rsid w:val="00760740"/>
    <w:rsid w:val="007622B3"/>
    <w:rsid w:val="00770889"/>
    <w:rsid w:val="00770DC8"/>
    <w:rsid w:val="00772C11"/>
    <w:rsid w:val="0077331E"/>
    <w:rsid w:val="00774B54"/>
    <w:rsid w:val="00777029"/>
    <w:rsid w:val="007774F5"/>
    <w:rsid w:val="007862B3"/>
    <w:rsid w:val="00786926"/>
    <w:rsid w:val="007877D6"/>
    <w:rsid w:val="007878A9"/>
    <w:rsid w:val="00787F1B"/>
    <w:rsid w:val="00790189"/>
    <w:rsid w:val="0079076A"/>
    <w:rsid w:val="007938D0"/>
    <w:rsid w:val="007A0CCB"/>
    <w:rsid w:val="007A2378"/>
    <w:rsid w:val="007B1D5A"/>
    <w:rsid w:val="007B415E"/>
    <w:rsid w:val="007B482A"/>
    <w:rsid w:val="007B6D47"/>
    <w:rsid w:val="007C5056"/>
    <w:rsid w:val="007C579E"/>
    <w:rsid w:val="007C6AA4"/>
    <w:rsid w:val="007C77C9"/>
    <w:rsid w:val="007D0987"/>
    <w:rsid w:val="007D3217"/>
    <w:rsid w:val="007D424C"/>
    <w:rsid w:val="007D5CC8"/>
    <w:rsid w:val="007D792E"/>
    <w:rsid w:val="007E34D9"/>
    <w:rsid w:val="007E4253"/>
    <w:rsid w:val="007E7938"/>
    <w:rsid w:val="007F27D0"/>
    <w:rsid w:val="007F4157"/>
    <w:rsid w:val="007F4FB4"/>
    <w:rsid w:val="007F5908"/>
    <w:rsid w:val="008063B8"/>
    <w:rsid w:val="008071F5"/>
    <w:rsid w:val="00807E10"/>
    <w:rsid w:val="00812CA6"/>
    <w:rsid w:val="0081479D"/>
    <w:rsid w:val="0081514C"/>
    <w:rsid w:val="00816517"/>
    <w:rsid w:val="00821E53"/>
    <w:rsid w:val="008224ED"/>
    <w:rsid w:val="00825305"/>
    <w:rsid w:val="00825D38"/>
    <w:rsid w:val="00826332"/>
    <w:rsid w:val="008266DA"/>
    <w:rsid w:val="00826EA0"/>
    <w:rsid w:val="0082707E"/>
    <w:rsid w:val="008272E9"/>
    <w:rsid w:val="00841BA1"/>
    <w:rsid w:val="00841FC3"/>
    <w:rsid w:val="00842016"/>
    <w:rsid w:val="008443F5"/>
    <w:rsid w:val="008477C7"/>
    <w:rsid w:val="0084797F"/>
    <w:rsid w:val="00851104"/>
    <w:rsid w:val="0085308D"/>
    <w:rsid w:val="00856A2C"/>
    <w:rsid w:val="00860421"/>
    <w:rsid w:val="0086371F"/>
    <w:rsid w:val="008718ED"/>
    <w:rsid w:val="00871C6E"/>
    <w:rsid w:val="008737A5"/>
    <w:rsid w:val="00874F9A"/>
    <w:rsid w:val="00883AB1"/>
    <w:rsid w:val="00886C14"/>
    <w:rsid w:val="00890F5B"/>
    <w:rsid w:val="00891A97"/>
    <w:rsid w:val="00894D47"/>
    <w:rsid w:val="00896664"/>
    <w:rsid w:val="008975C6"/>
    <w:rsid w:val="008A3684"/>
    <w:rsid w:val="008A4176"/>
    <w:rsid w:val="008B0C8E"/>
    <w:rsid w:val="008B3B75"/>
    <w:rsid w:val="008B5186"/>
    <w:rsid w:val="008B681D"/>
    <w:rsid w:val="008B7493"/>
    <w:rsid w:val="008B7FD4"/>
    <w:rsid w:val="008C2EDC"/>
    <w:rsid w:val="008C6272"/>
    <w:rsid w:val="008C657F"/>
    <w:rsid w:val="008C6F0C"/>
    <w:rsid w:val="008C7117"/>
    <w:rsid w:val="008D0861"/>
    <w:rsid w:val="008D2CC3"/>
    <w:rsid w:val="008D416A"/>
    <w:rsid w:val="008D486A"/>
    <w:rsid w:val="008D5120"/>
    <w:rsid w:val="008D552A"/>
    <w:rsid w:val="008D790E"/>
    <w:rsid w:val="008E5837"/>
    <w:rsid w:val="008E7428"/>
    <w:rsid w:val="008E79EF"/>
    <w:rsid w:val="008F068D"/>
    <w:rsid w:val="008F1069"/>
    <w:rsid w:val="008F2280"/>
    <w:rsid w:val="008F712F"/>
    <w:rsid w:val="00900031"/>
    <w:rsid w:val="0090238C"/>
    <w:rsid w:val="00904D59"/>
    <w:rsid w:val="00905FEF"/>
    <w:rsid w:val="00906433"/>
    <w:rsid w:val="00906483"/>
    <w:rsid w:val="009073C0"/>
    <w:rsid w:val="00912142"/>
    <w:rsid w:val="009133A0"/>
    <w:rsid w:val="00914DDA"/>
    <w:rsid w:val="00921B5A"/>
    <w:rsid w:val="00921F77"/>
    <w:rsid w:val="009271B1"/>
    <w:rsid w:val="00934E42"/>
    <w:rsid w:val="0093531B"/>
    <w:rsid w:val="0094068D"/>
    <w:rsid w:val="00945398"/>
    <w:rsid w:val="00952963"/>
    <w:rsid w:val="00952E0F"/>
    <w:rsid w:val="00953555"/>
    <w:rsid w:val="009572C7"/>
    <w:rsid w:val="009721DB"/>
    <w:rsid w:val="00972578"/>
    <w:rsid w:val="00973767"/>
    <w:rsid w:val="00974C23"/>
    <w:rsid w:val="009775E4"/>
    <w:rsid w:val="00977A07"/>
    <w:rsid w:val="0098604D"/>
    <w:rsid w:val="00987F12"/>
    <w:rsid w:val="009914EE"/>
    <w:rsid w:val="00991DD3"/>
    <w:rsid w:val="00991FF7"/>
    <w:rsid w:val="0099268E"/>
    <w:rsid w:val="00992DB4"/>
    <w:rsid w:val="0099383A"/>
    <w:rsid w:val="009979AC"/>
    <w:rsid w:val="009A147D"/>
    <w:rsid w:val="009A1B61"/>
    <w:rsid w:val="009A38BA"/>
    <w:rsid w:val="009A515E"/>
    <w:rsid w:val="009B0E7B"/>
    <w:rsid w:val="009B3773"/>
    <w:rsid w:val="009C0224"/>
    <w:rsid w:val="009C500B"/>
    <w:rsid w:val="009C570A"/>
    <w:rsid w:val="009D036C"/>
    <w:rsid w:val="009D1644"/>
    <w:rsid w:val="009D175D"/>
    <w:rsid w:val="009D3716"/>
    <w:rsid w:val="009D4034"/>
    <w:rsid w:val="009D40D0"/>
    <w:rsid w:val="009D4C0D"/>
    <w:rsid w:val="009D6E76"/>
    <w:rsid w:val="009D7A8D"/>
    <w:rsid w:val="009E1A1E"/>
    <w:rsid w:val="009E2E08"/>
    <w:rsid w:val="009E4AC6"/>
    <w:rsid w:val="009E4C92"/>
    <w:rsid w:val="009F0556"/>
    <w:rsid w:val="009F1239"/>
    <w:rsid w:val="009F2246"/>
    <w:rsid w:val="009F6BD3"/>
    <w:rsid w:val="00A022F8"/>
    <w:rsid w:val="00A04EB0"/>
    <w:rsid w:val="00A075E2"/>
    <w:rsid w:val="00A13B67"/>
    <w:rsid w:val="00A160D4"/>
    <w:rsid w:val="00A1643E"/>
    <w:rsid w:val="00A16708"/>
    <w:rsid w:val="00A16A57"/>
    <w:rsid w:val="00A20CC5"/>
    <w:rsid w:val="00A224CB"/>
    <w:rsid w:val="00A226AD"/>
    <w:rsid w:val="00A25C90"/>
    <w:rsid w:val="00A301A7"/>
    <w:rsid w:val="00A301B2"/>
    <w:rsid w:val="00A32C8B"/>
    <w:rsid w:val="00A32E6D"/>
    <w:rsid w:val="00A337D2"/>
    <w:rsid w:val="00A338F7"/>
    <w:rsid w:val="00A344D1"/>
    <w:rsid w:val="00A35860"/>
    <w:rsid w:val="00A378C4"/>
    <w:rsid w:val="00A378FF"/>
    <w:rsid w:val="00A40DE0"/>
    <w:rsid w:val="00A41618"/>
    <w:rsid w:val="00A42184"/>
    <w:rsid w:val="00A433F8"/>
    <w:rsid w:val="00A437AA"/>
    <w:rsid w:val="00A44EC7"/>
    <w:rsid w:val="00A4707A"/>
    <w:rsid w:val="00A47BB5"/>
    <w:rsid w:val="00A53DE2"/>
    <w:rsid w:val="00A561EC"/>
    <w:rsid w:val="00A61DC1"/>
    <w:rsid w:val="00A62F66"/>
    <w:rsid w:val="00A64EDD"/>
    <w:rsid w:val="00A64F0F"/>
    <w:rsid w:val="00A67E7A"/>
    <w:rsid w:val="00A70664"/>
    <w:rsid w:val="00A71B2D"/>
    <w:rsid w:val="00A7443B"/>
    <w:rsid w:val="00A75B28"/>
    <w:rsid w:val="00A76F1E"/>
    <w:rsid w:val="00A84361"/>
    <w:rsid w:val="00A86CC4"/>
    <w:rsid w:val="00A90FEB"/>
    <w:rsid w:val="00A92941"/>
    <w:rsid w:val="00A95BAD"/>
    <w:rsid w:val="00AA09B5"/>
    <w:rsid w:val="00AA0E90"/>
    <w:rsid w:val="00AA217C"/>
    <w:rsid w:val="00AA4831"/>
    <w:rsid w:val="00AA5363"/>
    <w:rsid w:val="00AB306C"/>
    <w:rsid w:val="00AB5BEA"/>
    <w:rsid w:val="00AC2DE3"/>
    <w:rsid w:val="00AC35C6"/>
    <w:rsid w:val="00AC5549"/>
    <w:rsid w:val="00AD658B"/>
    <w:rsid w:val="00AE5A78"/>
    <w:rsid w:val="00AE6360"/>
    <w:rsid w:val="00AF4C10"/>
    <w:rsid w:val="00AF784B"/>
    <w:rsid w:val="00B00BD6"/>
    <w:rsid w:val="00B00D78"/>
    <w:rsid w:val="00B04FE3"/>
    <w:rsid w:val="00B10E32"/>
    <w:rsid w:val="00B11BCE"/>
    <w:rsid w:val="00B12A72"/>
    <w:rsid w:val="00B12E55"/>
    <w:rsid w:val="00B13319"/>
    <w:rsid w:val="00B165E7"/>
    <w:rsid w:val="00B1755C"/>
    <w:rsid w:val="00B20094"/>
    <w:rsid w:val="00B22BEA"/>
    <w:rsid w:val="00B24857"/>
    <w:rsid w:val="00B258EA"/>
    <w:rsid w:val="00B33064"/>
    <w:rsid w:val="00B333D0"/>
    <w:rsid w:val="00B34C4D"/>
    <w:rsid w:val="00B35454"/>
    <w:rsid w:val="00B355E2"/>
    <w:rsid w:val="00B3728F"/>
    <w:rsid w:val="00B42FDD"/>
    <w:rsid w:val="00B456C8"/>
    <w:rsid w:val="00B540C3"/>
    <w:rsid w:val="00B54436"/>
    <w:rsid w:val="00B629A3"/>
    <w:rsid w:val="00B65F09"/>
    <w:rsid w:val="00B66494"/>
    <w:rsid w:val="00B707F8"/>
    <w:rsid w:val="00B71306"/>
    <w:rsid w:val="00B718A2"/>
    <w:rsid w:val="00B7315D"/>
    <w:rsid w:val="00B75DB4"/>
    <w:rsid w:val="00B81A19"/>
    <w:rsid w:val="00B822F7"/>
    <w:rsid w:val="00B842AA"/>
    <w:rsid w:val="00B94CD9"/>
    <w:rsid w:val="00B955C5"/>
    <w:rsid w:val="00BA387F"/>
    <w:rsid w:val="00BA54AD"/>
    <w:rsid w:val="00BA5F26"/>
    <w:rsid w:val="00BB1A44"/>
    <w:rsid w:val="00BB3960"/>
    <w:rsid w:val="00BB39F9"/>
    <w:rsid w:val="00BB4C36"/>
    <w:rsid w:val="00BB6769"/>
    <w:rsid w:val="00BC084B"/>
    <w:rsid w:val="00BC0980"/>
    <w:rsid w:val="00BD26BC"/>
    <w:rsid w:val="00BD6BA6"/>
    <w:rsid w:val="00BE3E55"/>
    <w:rsid w:val="00BE595E"/>
    <w:rsid w:val="00BF2A8D"/>
    <w:rsid w:val="00BF4FEC"/>
    <w:rsid w:val="00BF50E7"/>
    <w:rsid w:val="00BF615F"/>
    <w:rsid w:val="00C000DF"/>
    <w:rsid w:val="00C005AA"/>
    <w:rsid w:val="00C03B6B"/>
    <w:rsid w:val="00C06C96"/>
    <w:rsid w:val="00C1218A"/>
    <w:rsid w:val="00C130E4"/>
    <w:rsid w:val="00C15062"/>
    <w:rsid w:val="00C22F22"/>
    <w:rsid w:val="00C269BD"/>
    <w:rsid w:val="00C30D43"/>
    <w:rsid w:val="00C44333"/>
    <w:rsid w:val="00C47161"/>
    <w:rsid w:val="00C47B72"/>
    <w:rsid w:val="00C5101B"/>
    <w:rsid w:val="00C51A9C"/>
    <w:rsid w:val="00C529A9"/>
    <w:rsid w:val="00C53981"/>
    <w:rsid w:val="00C53A4D"/>
    <w:rsid w:val="00C53F83"/>
    <w:rsid w:val="00C5474C"/>
    <w:rsid w:val="00C549DF"/>
    <w:rsid w:val="00C54D6C"/>
    <w:rsid w:val="00C54E60"/>
    <w:rsid w:val="00C55A4D"/>
    <w:rsid w:val="00C566C7"/>
    <w:rsid w:val="00C63972"/>
    <w:rsid w:val="00C673C6"/>
    <w:rsid w:val="00C74210"/>
    <w:rsid w:val="00C76221"/>
    <w:rsid w:val="00C77525"/>
    <w:rsid w:val="00C8049B"/>
    <w:rsid w:val="00C8161A"/>
    <w:rsid w:val="00C83593"/>
    <w:rsid w:val="00C849A4"/>
    <w:rsid w:val="00C85532"/>
    <w:rsid w:val="00C86410"/>
    <w:rsid w:val="00C86AE1"/>
    <w:rsid w:val="00C916E1"/>
    <w:rsid w:val="00C94AE2"/>
    <w:rsid w:val="00C95281"/>
    <w:rsid w:val="00C95A76"/>
    <w:rsid w:val="00C96DB6"/>
    <w:rsid w:val="00CA0930"/>
    <w:rsid w:val="00CA47F2"/>
    <w:rsid w:val="00CA5CA7"/>
    <w:rsid w:val="00CA680C"/>
    <w:rsid w:val="00CB0596"/>
    <w:rsid w:val="00CB0AF3"/>
    <w:rsid w:val="00CB0B9B"/>
    <w:rsid w:val="00CB429F"/>
    <w:rsid w:val="00CB63A1"/>
    <w:rsid w:val="00CC172D"/>
    <w:rsid w:val="00CC4875"/>
    <w:rsid w:val="00CC7831"/>
    <w:rsid w:val="00CD2BCB"/>
    <w:rsid w:val="00CD2C29"/>
    <w:rsid w:val="00CD4C0F"/>
    <w:rsid w:val="00CE0E8B"/>
    <w:rsid w:val="00CE3319"/>
    <w:rsid w:val="00CE3D64"/>
    <w:rsid w:val="00CE6BAC"/>
    <w:rsid w:val="00CE7680"/>
    <w:rsid w:val="00CF087B"/>
    <w:rsid w:val="00CF14B6"/>
    <w:rsid w:val="00CF51D4"/>
    <w:rsid w:val="00CF6BE1"/>
    <w:rsid w:val="00D0125C"/>
    <w:rsid w:val="00D04AC7"/>
    <w:rsid w:val="00D11558"/>
    <w:rsid w:val="00D12E1F"/>
    <w:rsid w:val="00D134AB"/>
    <w:rsid w:val="00D1404D"/>
    <w:rsid w:val="00D14770"/>
    <w:rsid w:val="00D15CCB"/>
    <w:rsid w:val="00D178DC"/>
    <w:rsid w:val="00D2605B"/>
    <w:rsid w:val="00D260B0"/>
    <w:rsid w:val="00D268A4"/>
    <w:rsid w:val="00D278D7"/>
    <w:rsid w:val="00D35AF5"/>
    <w:rsid w:val="00D40602"/>
    <w:rsid w:val="00D40766"/>
    <w:rsid w:val="00D43698"/>
    <w:rsid w:val="00D47148"/>
    <w:rsid w:val="00D54273"/>
    <w:rsid w:val="00D56632"/>
    <w:rsid w:val="00D611C7"/>
    <w:rsid w:val="00D6290B"/>
    <w:rsid w:val="00D7001C"/>
    <w:rsid w:val="00D71C9B"/>
    <w:rsid w:val="00D742A2"/>
    <w:rsid w:val="00D74E71"/>
    <w:rsid w:val="00D755F6"/>
    <w:rsid w:val="00D80D16"/>
    <w:rsid w:val="00D814F2"/>
    <w:rsid w:val="00D8672C"/>
    <w:rsid w:val="00D938C9"/>
    <w:rsid w:val="00D93C64"/>
    <w:rsid w:val="00D93CD4"/>
    <w:rsid w:val="00D94B33"/>
    <w:rsid w:val="00D96491"/>
    <w:rsid w:val="00DA4F9F"/>
    <w:rsid w:val="00DA5D4E"/>
    <w:rsid w:val="00DA7EDE"/>
    <w:rsid w:val="00DB1D15"/>
    <w:rsid w:val="00DB520F"/>
    <w:rsid w:val="00DB5ABB"/>
    <w:rsid w:val="00DB5AF6"/>
    <w:rsid w:val="00DB7749"/>
    <w:rsid w:val="00DB7F61"/>
    <w:rsid w:val="00DC1DCA"/>
    <w:rsid w:val="00DC750B"/>
    <w:rsid w:val="00DD0820"/>
    <w:rsid w:val="00DD2826"/>
    <w:rsid w:val="00DD46F8"/>
    <w:rsid w:val="00DD664C"/>
    <w:rsid w:val="00DE0238"/>
    <w:rsid w:val="00DE355F"/>
    <w:rsid w:val="00DE366A"/>
    <w:rsid w:val="00DE399D"/>
    <w:rsid w:val="00DE788F"/>
    <w:rsid w:val="00DE7BB1"/>
    <w:rsid w:val="00DF0188"/>
    <w:rsid w:val="00DF2012"/>
    <w:rsid w:val="00DF4746"/>
    <w:rsid w:val="00E012C1"/>
    <w:rsid w:val="00E016D8"/>
    <w:rsid w:val="00E03BA1"/>
    <w:rsid w:val="00E0643C"/>
    <w:rsid w:val="00E102E8"/>
    <w:rsid w:val="00E10F87"/>
    <w:rsid w:val="00E1392C"/>
    <w:rsid w:val="00E14BCD"/>
    <w:rsid w:val="00E17661"/>
    <w:rsid w:val="00E17698"/>
    <w:rsid w:val="00E25866"/>
    <w:rsid w:val="00E27552"/>
    <w:rsid w:val="00E306A0"/>
    <w:rsid w:val="00E328F0"/>
    <w:rsid w:val="00E33DCE"/>
    <w:rsid w:val="00E36487"/>
    <w:rsid w:val="00E371A2"/>
    <w:rsid w:val="00E41336"/>
    <w:rsid w:val="00E438FF"/>
    <w:rsid w:val="00E558C5"/>
    <w:rsid w:val="00E63423"/>
    <w:rsid w:val="00E63E76"/>
    <w:rsid w:val="00E64F87"/>
    <w:rsid w:val="00E663CF"/>
    <w:rsid w:val="00E66FD5"/>
    <w:rsid w:val="00E71356"/>
    <w:rsid w:val="00E71DBB"/>
    <w:rsid w:val="00E73DE5"/>
    <w:rsid w:val="00E80B36"/>
    <w:rsid w:val="00E90BD5"/>
    <w:rsid w:val="00E95988"/>
    <w:rsid w:val="00E964D1"/>
    <w:rsid w:val="00E96972"/>
    <w:rsid w:val="00E9779D"/>
    <w:rsid w:val="00EA29B8"/>
    <w:rsid w:val="00EA3AF2"/>
    <w:rsid w:val="00EA3D57"/>
    <w:rsid w:val="00EA451B"/>
    <w:rsid w:val="00EA56E9"/>
    <w:rsid w:val="00EB37A2"/>
    <w:rsid w:val="00EB5868"/>
    <w:rsid w:val="00EC0E12"/>
    <w:rsid w:val="00EC274D"/>
    <w:rsid w:val="00EC34D6"/>
    <w:rsid w:val="00ED3719"/>
    <w:rsid w:val="00ED3840"/>
    <w:rsid w:val="00ED7742"/>
    <w:rsid w:val="00ED7B73"/>
    <w:rsid w:val="00EE3FDC"/>
    <w:rsid w:val="00EE42E4"/>
    <w:rsid w:val="00EE498F"/>
    <w:rsid w:val="00EE6D76"/>
    <w:rsid w:val="00EE7597"/>
    <w:rsid w:val="00EF2B48"/>
    <w:rsid w:val="00EF4582"/>
    <w:rsid w:val="00EF6275"/>
    <w:rsid w:val="00EF630B"/>
    <w:rsid w:val="00EF6932"/>
    <w:rsid w:val="00EF7C09"/>
    <w:rsid w:val="00EF7D88"/>
    <w:rsid w:val="00F07D50"/>
    <w:rsid w:val="00F12AD1"/>
    <w:rsid w:val="00F13664"/>
    <w:rsid w:val="00F1451E"/>
    <w:rsid w:val="00F145EF"/>
    <w:rsid w:val="00F14D21"/>
    <w:rsid w:val="00F220D8"/>
    <w:rsid w:val="00F223C1"/>
    <w:rsid w:val="00F243F3"/>
    <w:rsid w:val="00F24E27"/>
    <w:rsid w:val="00F30150"/>
    <w:rsid w:val="00F30EF5"/>
    <w:rsid w:val="00F33F45"/>
    <w:rsid w:val="00F3498E"/>
    <w:rsid w:val="00F35432"/>
    <w:rsid w:val="00F358EA"/>
    <w:rsid w:val="00F409C1"/>
    <w:rsid w:val="00F43568"/>
    <w:rsid w:val="00F44364"/>
    <w:rsid w:val="00F44658"/>
    <w:rsid w:val="00F47DB7"/>
    <w:rsid w:val="00F52579"/>
    <w:rsid w:val="00F56A5E"/>
    <w:rsid w:val="00F6076A"/>
    <w:rsid w:val="00F61A33"/>
    <w:rsid w:val="00F61EBB"/>
    <w:rsid w:val="00F6564D"/>
    <w:rsid w:val="00F701F9"/>
    <w:rsid w:val="00F702E4"/>
    <w:rsid w:val="00F73DA1"/>
    <w:rsid w:val="00F73ED0"/>
    <w:rsid w:val="00F7790D"/>
    <w:rsid w:val="00F77E8B"/>
    <w:rsid w:val="00F818DC"/>
    <w:rsid w:val="00F837B5"/>
    <w:rsid w:val="00F91306"/>
    <w:rsid w:val="00F91D4F"/>
    <w:rsid w:val="00F92B90"/>
    <w:rsid w:val="00F97642"/>
    <w:rsid w:val="00FA5DD8"/>
    <w:rsid w:val="00FB71CE"/>
    <w:rsid w:val="00FC2581"/>
    <w:rsid w:val="00FC2C90"/>
    <w:rsid w:val="00FD6216"/>
    <w:rsid w:val="00FE062E"/>
    <w:rsid w:val="00FE1DF8"/>
    <w:rsid w:val="00FE303A"/>
    <w:rsid w:val="00FE69D4"/>
    <w:rsid w:val="00FF49A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91AB3F"/>
  <w15:docId w15:val="{EF4BC876-9176-4127-A367-8423CC6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430E"/>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E55"/>
    <w:pPr>
      <w:keepNext/>
      <w:ind w:left="720"/>
      <w:outlineLvl w:val="1"/>
    </w:pPr>
    <w:rPr>
      <w:rFonts w:ascii="Arial Narrow" w:hAnsi="Arial Narrow"/>
      <w:b/>
      <w:bCs/>
    </w:rPr>
  </w:style>
  <w:style w:type="paragraph" w:styleId="Heading3">
    <w:name w:val="heading 3"/>
    <w:basedOn w:val="Normal"/>
    <w:next w:val="Normal"/>
    <w:qFormat/>
    <w:rsid w:val="00B12E5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E5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E55"/>
    <w:pPr>
      <w:tabs>
        <w:tab w:val="center" w:pos="4153"/>
        <w:tab w:val="right" w:pos="8306"/>
      </w:tabs>
    </w:pPr>
  </w:style>
  <w:style w:type="paragraph" w:styleId="Footer">
    <w:name w:val="footer"/>
    <w:basedOn w:val="Normal"/>
    <w:rsid w:val="00B12E55"/>
    <w:pPr>
      <w:tabs>
        <w:tab w:val="center" w:pos="4153"/>
        <w:tab w:val="right" w:pos="8306"/>
      </w:tabs>
    </w:pPr>
  </w:style>
  <w:style w:type="character" w:styleId="PageNumber">
    <w:name w:val="page number"/>
    <w:basedOn w:val="DefaultParagraphFont"/>
    <w:rsid w:val="00B12E55"/>
  </w:style>
  <w:style w:type="paragraph" w:styleId="FootnoteText">
    <w:name w:val="footnote text"/>
    <w:basedOn w:val="Normal"/>
    <w:semiHidden/>
    <w:rsid w:val="00B12E55"/>
    <w:pPr>
      <w:widowControl w:val="0"/>
    </w:pPr>
    <w:rPr>
      <w:rFonts w:ascii="Courier" w:hAnsi="Courier"/>
      <w:szCs w:val="20"/>
      <w:lang w:val="en-US"/>
    </w:rPr>
  </w:style>
  <w:style w:type="paragraph" w:styleId="BodyText3">
    <w:name w:val="Body Text 3"/>
    <w:basedOn w:val="Normal"/>
    <w:rsid w:val="00B12E55"/>
    <w:rPr>
      <w:szCs w:val="20"/>
      <w:lang w:val="en-US"/>
    </w:rPr>
  </w:style>
  <w:style w:type="paragraph" w:styleId="BodyTextIndent">
    <w:name w:val="Body Text Indent"/>
    <w:basedOn w:val="Normal"/>
    <w:rsid w:val="00B12E55"/>
    <w:pPr>
      <w:tabs>
        <w:tab w:val="left" w:pos="360"/>
      </w:tabs>
    </w:pPr>
    <w:rPr>
      <w:b/>
      <w:i/>
      <w:sz w:val="28"/>
      <w:szCs w:val="20"/>
      <w:lang w:val="en-US"/>
    </w:rPr>
  </w:style>
  <w:style w:type="character" w:styleId="Hyperlink">
    <w:name w:val="Hyperlink"/>
    <w:basedOn w:val="DefaultParagraphFont"/>
    <w:uiPriority w:val="99"/>
    <w:rsid w:val="00B12E55"/>
    <w:rPr>
      <w:color w:val="0000FF"/>
      <w:u w:val="single"/>
    </w:rPr>
  </w:style>
  <w:style w:type="character" w:styleId="FollowedHyperlink">
    <w:name w:val="FollowedHyperlink"/>
    <w:basedOn w:val="DefaultParagraphFont"/>
    <w:rsid w:val="00B12E55"/>
    <w:rPr>
      <w:color w:val="800080"/>
      <w:u w:val="single"/>
    </w:rPr>
  </w:style>
  <w:style w:type="paragraph" w:styleId="BodyText">
    <w:name w:val="Body Text"/>
    <w:basedOn w:val="Normal"/>
    <w:link w:val="BodyTextChar"/>
    <w:uiPriority w:val="99"/>
    <w:rsid w:val="00B12E55"/>
    <w:pPr>
      <w:pBdr>
        <w:bottom w:val="single" w:sz="4" w:space="1" w:color="auto"/>
      </w:pBdr>
    </w:pPr>
    <w:rPr>
      <w:rFonts w:ascii="Arial Narrow" w:hAnsi="Arial Narrow"/>
      <w:i/>
      <w:iCs/>
    </w:rPr>
  </w:style>
  <w:style w:type="paragraph" w:styleId="BodyText2">
    <w:name w:val="Body Text 2"/>
    <w:basedOn w:val="Normal"/>
    <w:rsid w:val="00B12E5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pseditboxdisponly">
    <w:name w:val="pseditbox_disponly"/>
    <w:basedOn w:val="DefaultParagraphFont"/>
    <w:rsid w:val="00D47148"/>
  </w:style>
  <w:style w:type="character" w:customStyle="1" w:styleId="BodyTextChar">
    <w:name w:val="Body Text Char"/>
    <w:basedOn w:val="DefaultParagraphFont"/>
    <w:link w:val="BodyText"/>
    <w:uiPriority w:val="99"/>
    <w:rsid w:val="008C657F"/>
    <w:rPr>
      <w:rFonts w:ascii="Arial Narrow" w:hAnsi="Arial Narrow"/>
      <w:i/>
      <w:iCs/>
      <w:sz w:val="22"/>
      <w:szCs w:val="24"/>
      <w:lang w:val="en-GB"/>
    </w:rPr>
  </w:style>
  <w:style w:type="paragraph" w:customStyle="1" w:styleId="ColorfulList-Accent11">
    <w:name w:val="Colorful List - Accent 11"/>
    <w:basedOn w:val="Normal"/>
    <w:uiPriority w:val="34"/>
    <w:qFormat/>
    <w:rsid w:val="0079076A"/>
    <w:pPr>
      <w:spacing w:after="0"/>
      <w:ind w:left="720"/>
      <w:jc w:val="left"/>
    </w:pPr>
    <w:rPr>
      <w:rFonts w:ascii="Times New Roman" w:hAnsi="Times New Roman"/>
      <w:sz w:val="24"/>
      <w:lang w:val="en-US"/>
    </w:rPr>
  </w:style>
  <w:style w:type="paragraph" w:customStyle="1" w:styleId="Default">
    <w:name w:val="Default"/>
    <w:rsid w:val="00B94CD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F2280"/>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255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1570072">
      <w:bodyDiv w:val="1"/>
      <w:marLeft w:val="0"/>
      <w:marRight w:val="0"/>
      <w:marTop w:val="0"/>
      <w:marBottom w:val="0"/>
      <w:divBdr>
        <w:top w:val="none" w:sz="0" w:space="0" w:color="auto"/>
        <w:left w:val="none" w:sz="0" w:space="0" w:color="auto"/>
        <w:bottom w:val="none" w:sz="0" w:space="0" w:color="auto"/>
        <w:right w:val="none" w:sz="0" w:space="0" w:color="auto"/>
      </w:divBdr>
    </w:div>
    <w:div w:id="974020922">
      <w:bodyDiv w:val="1"/>
      <w:marLeft w:val="0"/>
      <w:marRight w:val="0"/>
      <w:marTop w:val="0"/>
      <w:marBottom w:val="0"/>
      <w:divBdr>
        <w:top w:val="none" w:sz="0" w:space="0" w:color="auto"/>
        <w:left w:val="none" w:sz="0" w:space="0" w:color="auto"/>
        <w:bottom w:val="none" w:sz="0" w:space="0" w:color="auto"/>
        <w:right w:val="none" w:sz="0" w:space="0" w:color="auto"/>
      </w:divBdr>
    </w:div>
    <w:div w:id="1109592262">
      <w:bodyDiv w:val="1"/>
      <w:marLeft w:val="0"/>
      <w:marRight w:val="0"/>
      <w:marTop w:val="0"/>
      <w:marBottom w:val="0"/>
      <w:divBdr>
        <w:top w:val="none" w:sz="0" w:space="0" w:color="auto"/>
        <w:left w:val="none" w:sz="0" w:space="0" w:color="auto"/>
        <w:bottom w:val="none" w:sz="0" w:space="0" w:color="auto"/>
        <w:right w:val="none" w:sz="0" w:space="0" w:color="auto"/>
      </w:divBdr>
    </w:div>
    <w:div w:id="1186407119">
      <w:bodyDiv w:val="1"/>
      <w:marLeft w:val="0"/>
      <w:marRight w:val="0"/>
      <w:marTop w:val="0"/>
      <w:marBottom w:val="0"/>
      <w:divBdr>
        <w:top w:val="none" w:sz="0" w:space="0" w:color="auto"/>
        <w:left w:val="none" w:sz="0" w:space="0" w:color="auto"/>
        <w:bottom w:val="none" w:sz="0" w:space="0" w:color="auto"/>
        <w:right w:val="none" w:sz="0" w:space="0" w:color="auto"/>
      </w:divBdr>
    </w:div>
    <w:div w:id="1346394968">
      <w:bodyDiv w:val="1"/>
      <w:marLeft w:val="0"/>
      <w:marRight w:val="0"/>
      <w:marTop w:val="0"/>
      <w:marBottom w:val="0"/>
      <w:divBdr>
        <w:top w:val="none" w:sz="0" w:space="0" w:color="auto"/>
        <w:left w:val="none" w:sz="0" w:space="0" w:color="auto"/>
        <w:bottom w:val="none" w:sz="0" w:space="0" w:color="auto"/>
        <w:right w:val="none" w:sz="0" w:space="0" w:color="auto"/>
      </w:divBdr>
    </w:div>
    <w:div w:id="1551918196">
      <w:bodyDiv w:val="1"/>
      <w:marLeft w:val="0"/>
      <w:marRight w:val="0"/>
      <w:marTop w:val="0"/>
      <w:marBottom w:val="0"/>
      <w:divBdr>
        <w:top w:val="none" w:sz="0" w:space="0" w:color="auto"/>
        <w:left w:val="none" w:sz="0" w:space="0" w:color="auto"/>
        <w:bottom w:val="none" w:sz="0" w:space="0" w:color="auto"/>
        <w:right w:val="none" w:sz="0" w:space="0" w:color="auto"/>
      </w:divBdr>
    </w:div>
    <w:div w:id="155210831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6478684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2015-01-29T14:00:00+00:00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00079521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ATLASPDC-4-94977</_dlc_DocId>
    <_dlc_DocIdUrl xmlns="f1161f5b-24a3-4c2d-bc81-44cb9325e8ee">
      <Url>https://info.undp.org/docs/pdc/_layouts/DocIdRedir.aspx?ID=ATLASPDC-4-94977</Url>
      <Description>ATLASPDC-4-94977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1AFA6-2640-4D11-BB8A-7AF237560AF6}">
  <ds:schemaRefs>
    <ds:schemaRef ds:uri="Microsoft.SharePoint.Taxonomy.ContentTypeSync"/>
  </ds:schemaRefs>
</ds:datastoreItem>
</file>

<file path=customXml/itemProps2.xml><?xml version="1.0" encoding="utf-8"?>
<ds:datastoreItem xmlns:ds="http://schemas.openxmlformats.org/officeDocument/2006/customXml" ds:itemID="{58C37D3F-159E-4A3F-B03C-FC2DA29CD8DB}"/>
</file>

<file path=customXml/itemProps3.xml><?xml version="1.0" encoding="utf-8"?>
<ds:datastoreItem xmlns:ds="http://schemas.openxmlformats.org/officeDocument/2006/customXml" ds:itemID="{CACB3229-34D8-4AE5-8380-B13E74E56044}">
  <ds:schemaRefs>
    <ds:schemaRef ds:uri="http://schemas.microsoft.com/sharepoint/v3/contenttype/forms"/>
  </ds:schemaRefs>
</ds:datastoreItem>
</file>

<file path=customXml/itemProps4.xml><?xml version="1.0" encoding="utf-8"?>
<ds:datastoreItem xmlns:ds="http://schemas.openxmlformats.org/officeDocument/2006/customXml" ds:itemID="{D6628E5D-718F-47D2-A560-B0195F26ABA9}">
  <ds:schemaRefs>
    <ds:schemaRef ds:uri="http://schemas.microsoft.com/office/2006/metadata/properties"/>
    <ds:schemaRef ds:uri="1ed4137b-41b2-488b-8250-6d369ec27664"/>
    <ds:schemaRef ds:uri="http://schemas.microsoft.com/office/infopath/2007/PartnerControls"/>
    <ds:schemaRef ds:uri="f1161f5b-24a3-4c2d-bc81-44cb9325e8ee"/>
    <ds:schemaRef ds:uri="http://schemas.microsoft.com/sharepoint/v3/fields"/>
  </ds:schemaRefs>
</ds:datastoreItem>
</file>

<file path=customXml/itemProps5.xml><?xml version="1.0" encoding="utf-8"?>
<ds:datastoreItem xmlns:ds="http://schemas.openxmlformats.org/officeDocument/2006/customXml" ds:itemID="{FBA00B73-57A2-4488-B9E9-A7EE5C40B655}">
  <ds:schemaRefs>
    <ds:schemaRef ds:uri="http://schemas.microsoft.com/sharepoint/events"/>
  </ds:schemaRefs>
</ds:datastoreItem>
</file>

<file path=customXml/itemProps6.xml><?xml version="1.0" encoding="utf-8"?>
<ds:datastoreItem xmlns:ds="http://schemas.openxmlformats.org/officeDocument/2006/customXml" ds:itemID="{7777594D-739E-4A4D-96EE-8BBFFF60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CRMI Annual Report 2014</vt:lpstr>
    </vt:vector>
  </TitlesOfParts>
  <Manager>BDP/BOM</Manager>
  <Company>UNDP</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 2018 Annual Report</dc:title>
  <dc:subject>Project Management</dc:subject>
  <dc:creator/>
  <dc:description>Purpose, format, composition and responsibilities regarding the project document format</dc:description>
  <cp:lastModifiedBy>Colleen McNally-Murphy</cp:lastModifiedBy>
  <cp:revision>2</cp:revision>
  <cp:lastPrinted>2014-01-17T19:03:00Z</cp:lastPrinted>
  <dcterms:created xsi:type="dcterms:W3CDTF">2019-01-22T22:28:00Z</dcterms:created>
  <dcterms:modified xsi:type="dcterms:W3CDTF">2019-01-22T22:28:00Z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1124;#R46|f08bccf9-e591-4230-9335-f907f33903f5</vt:lpwstr>
  </property>
  <property fmtid="{D5CDD505-2E9C-101B-9397-08002B2CF9AE}" pid="10" name="Atlas Document Status">
    <vt:lpwstr>763;#Draft|121d40a5-e62e-4d42-82e4-d6d12003de0a</vt:lpwstr>
  </property>
  <property fmtid="{D5CDD505-2E9C-101B-9397-08002B2CF9AE}" pid="11" name="_dlc_DocIdItemGuid">
    <vt:lpwstr>fd48bd2e-ee45-4267-91d4-651e304327de</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URL">
    <vt:lpwstr/>
  </property>
  <property fmtid="{D5CDD505-2E9C-101B-9397-08002B2CF9AE}" pid="18" name="DocumentSetDescription">
    <vt:lpwstr/>
  </property>
</Properties>
</file>